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2697" w14:textId="4FAC2DC4" w:rsidR="00067649" w:rsidRDefault="00067649" w:rsidP="00067649">
      <w:pPr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 xml:space="preserve">Stanowisko Zarządu Związku Miast Polskich </w:t>
      </w:r>
    </w:p>
    <w:p w14:paraId="0948FA04" w14:textId="77777777" w:rsid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 xml:space="preserve">w sprawie </w:t>
      </w:r>
    </w:p>
    <w:p w14:paraId="11D87D36" w14:textId="0E223579" w:rsidR="00067649" w:rsidRP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</w:pP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ciągłości działania gminy 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po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wygaśnięci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u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mandatu wójta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(burmistrza, prezydenta) 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w t</w:t>
      </w:r>
      <w:r w:rsidR="00EC7F90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>rakcie</w:t>
      </w:r>
      <w:r w:rsidR="00C82FD9"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kadencji</w:t>
      </w:r>
      <w:r w:rsidRPr="00EC7F90">
        <w:rPr>
          <w:rFonts w:ascii="Aptos" w:hAnsi="Aptos"/>
          <w:b/>
          <w:bCs/>
          <w:color w:val="000000" w:themeColor="text1"/>
          <w:spacing w:val="-4"/>
          <w:sz w:val="22"/>
          <w:szCs w:val="22"/>
        </w:rPr>
        <w:t xml:space="preserve"> </w:t>
      </w:r>
    </w:p>
    <w:p w14:paraId="4C0D5671" w14:textId="4C6C74B4" w:rsidR="00067649" w:rsidRPr="00EC7F90" w:rsidRDefault="00067649" w:rsidP="00067649">
      <w:pPr>
        <w:jc w:val="center"/>
        <w:rPr>
          <w:rFonts w:ascii="Aptos" w:hAnsi="Aptos"/>
          <w:b/>
          <w:bCs/>
          <w:color w:val="000000" w:themeColor="text1"/>
          <w:sz w:val="16"/>
          <w:szCs w:val="16"/>
        </w:rPr>
      </w:pPr>
    </w:p>
    <w:p w14:paraId="3AEBB7CF" w14:textId="7EADC0F7" w:rsidR="0059530E" w:rsidRDefault="0059530E" w:rsidP="00EC7F90">
      <w:pPr>
        <w:spacing w:after="120"/>
        <w:ind w:firstLine="709"/>
        <w:jc w:val="both"/>
        <w:rPr>
          <w:rFonts w:ascii="Aptos" w:hAnsi="Aptos"/>
          <w:color w:val="000000" w:themeColor="text1"/>
          <w:sz w:val="22"/>
          <w:szCs w:val="22"/>
        </w:rPr>
      </w:pPr>
      <w:r w:rsidRPr="0059530E">
        <w:rPr>
          <w:rFonts w:ascii="Aptos" w:hAnsi="Aptos"/>
          <w:color w:val="000000" w:themeColor="text1"/>
          <w:sz w:val="22"/>
          <w:szCs w:val="22"/>
        </w:rPr>
        <w:t>W związku</w:t>
      </w:r>
      <w:r>
        <w:rPr>
          <w:rFonts w:ascii="Aptos" w:hAnsi="Aptos"/>
          <w:color w:val="000000" w:themeColor="text1"/>
          <w:sz w:val="22"/>
          <w:szCs w:val="22"/>
        </w:rPr>
        <w:t xml:space="preserve"> ze skandalicznymi opóźnieniami przy powołaniu przez b. premiera osób pełniących funkcję organu wykonawczego miast i gmin w miejsce osób wybranych do Sejmu i Senatu RP w dniu 15 października, a także stosowanie</w:t>
      </w:r>
      <w:r w:rsidR="00EC7F90">
        <w:rPr>
          <w:rFonts w:ascii="Aptos" w:hAnsi="Aptos"/>
          <w:color w:val="000000" w:themeColor="text1"/>
          <w:sz w:val="22"/>
          <w:szCs w:val="22"/>
        </w:rPr>
        <w:t>m</w:t>
      </w:r>
      <w:r>
        <w:rPr>
          <w:rFonts w:ascii="Aptos" w:hAnsi="Aptos"/>
          <w:color w:val="000000" w:themeColor="text1"/>
          <w:sz w:val="22"/>
          <w:szCs w:val="22"/>
        </w:rPr>
        <w:t xml:space="preserve"> przy tych decyzjach niejednolitych</w:t>
      </w:r>
      <w:r w:rsidR="00EC7F90">
        <w:rPr>
          <w:rFonts w:ascii="Aptos" w:hAnsi="Aptos"/>
          <w:color w:val="000000" w:themeColor="text1"/>
          <w:sz w:val="22"/>
          <w:szCs w:val="22"/>
        </w:rPr>
        <w:t>, nie</w:t>
      </w:r>
      <w:bookmarkStart w:id="0" w:name="_GoBack"/>
      <w:bookmarkEnd w:id="0"/>
      <w:r w:rsidR="00EC7F90">
        <w:rPr>
          <w:rFonts w:ascii="Aptos" w:hAnsi="Aptos"/>
          <w:color w:val="000000" w:themeColor="text1"/>
          <w:sz w:val="22"/>
          <w:szCs w:val="22"/>
        </w:rPr>
        <w:t>merytorycznych</w:t>
      </w:r>
      <w:r>
        <w:rPr>
          <w:rFonts w:ascii="Aptos" w:hAnsi="Aptos"/>
          <w:color w:val="000000" w:themeColor="text1"/>
          <w:sz w:val="22"/>
          <w:szCs w:val="22"/>
        </w:rPr>
        <w:t xml:space="preserve"> kryteriów, co skutkuje w części przypadków perturbacjami i nieciągłością władzy wykonawczej w trakcie </w:t>
      </w:r>
      <w:r w:rsidR="00EC38CE">
        <w:rPr>
          <w:rFonts w:ascii="Aptos" w:hAnsi="Aptos"/>
          <w:color w:val="000000" w:themeColor="text1"/>
          <w:sz w:val="22"/>
          <w:szCs w:val="22"/>
        </w:rPr>
        <w:t xml:space="preserve">trwania </w:t>
      </w:r>
      <w:r>
        <w:rPr>
          <w:rFonts w:ascii="Aptos" w:hAnsi="Aptos"/>
          <w:color w:val="000000" w:themeColor="text1"/>
          <w:sz w:val="22"/>
          <w:szCs w:val="22"/>
        </w:rPr>
        <w:t>kadencji, Zarząd Związku Miast Polskich przypomina swoje stanowisko z dnia 14 lutego 2020 roku.</w:t>
      </w:r>
    </w:p>
    <w:p w14:paraId="21F16A42" w14:textId="4568B3D9" w:rsidR="0059530E" w:rsidRPr="0059530E" w:rsidRDefault="0059530E" w:rsidP="00EC7F90">
      <w:pPr>
        <w:spacing w:after="120"/>
        <w:ind w:firstLine="709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 xml:space="preserve">Biorąc pod uwagę wskazane wówczas argumenty domagamy się, aby: </w:t>
      </w:r>
    </w:p>
    <w:p w14:paraId="4858A263" w14:textId="3A7AC9A9" w:rsid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 xml:space="preserve">Wykorzystać sprawdzone rozwiązanie zawarte w artykule </w:t>
      </w:r>
      <w:r w:rsidRPr="00067649">
        <w:rPr>
          <w:rFonts w:ascii="Aptos" w:hAnsi="Aptos"/>
          <w:color w:val="000000" w:themeColor="text1"/>
          <w:sz w:val="22"/>
          <w:szCs w:val="22"/>
        </w:rPr>
        <w:t>28g ust. 1 ustawy o samorządzie gminnym, przypisując</w:t>
      </w:r>
      <w:r>
        <w:rPr>
          <w:rFonts w:ascii="Aptos" w:hAnsi="Aptos"/>
          <w:color w:val="000000" w:themeColor="text1"/>
          <w:sz w:val="22"/>
          <w:szCs w:val="22"/>
        </w:rPr>
        <w:t>e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obowiązki prezydenta (burmistrza, wójta) jego zastępcy (lub pierwszemu zastępcy, jeżeli zastępców jest wielu), w sytuacji, gdy prezydent (burmistrz, wójt) nie może pełnić swoich obowiązków ze względu na tzw. przemijającą przeszkodę, a więc na przykład w razie choroby trwającej powyżej 30 dni</w:t>
      </w:r>
      <w:r>
        <w:rPr>
          <w:rFonts w:ascii="Aptos" w:hAnsi="Aptos"/>
          <w:color w:val="000000" w:themeColor="text1"/>
          <w:sz w:val="22"/>
          <w:szCs w:val="22"/>
        </w:rPr>
        <w:t>, do zapewnienia ciągłości i sprawności funkcjonowania samorządu gminnego w okresie od dnia wygaśnięcia mandatu wójta (burmistrza, prezydenta) do dnia objęcia mandatu przez nowego wójta (burmistrza, prezydenta)</w:t>
      </w:r>
      <w:r w:rsidR="0059530E">
        <w:rPr>
          <w:rFonts w:ascii="Aptos" w:hAnsi="Aptos"/>
          <w:color w:val="000000" w:themeColor="text1"/>
          <w:sz w:val="22"/>
          <w:szCs w:val="22"/>
        </w:rPr>
        <w:t>,</w:t>
      </w:r>
      <w:r>
        <w:rPr>
          <w:rFonts w:ascii="Aptos" w:hAnsi="Aptos"/>
          <w:color w:val="000000" w:themeColor="text1"/>
          <w:sz w:val="22"/>
          <w:szCs w:val="22"/>
        </w:rPr>
        <w:t xml:space="preserve"> wyłonionego w wyborach bezpośrednich.</w:t>
      </w:r>
    </w:p>
    <w:p w14:paraId="469F35C4" w14:textId="714639E1" w:rsidR="00067649" w:rsidRPr="0059530E" w:rsidRDefault="00EC38CE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pacing w:val="-4"/>
          <w:sz w:val="22"/>
          <w:szCs w:val="22"/>
        </w:rPr>
      </w:pPr>
      <w:r>
        <w:rPr>
          <w:rFonts w:ascii="Aptos" w:hAnsi="Aptos"/>
          <w:color w:val="000000" w:themeColor="text1"/>
          <w:spacing w:val="-4"/>
          <w:sz w:val="22"/>
          <w:szCs w:val="22"/>
        </w:rPr>
        <w:t>Wprowadzić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zmianę przepisów ustawy o samorządzie gminnym</w:t>
      </w:r>
      <w:r>
        <w:rPr>
          <w:rFonts w:ascii="Aptos" w:hAnsi="Aptos"/>
          <w:color w:val="000000" w:themeColor="text1"/>
          <w:spacing w:val="-4"/>
          <w:sz w:val="22"/>
          <w:szCs w:val="22"/>
        </w:rPr>
        <w:t xml:space="preserve"> w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art. 28e, art. 28f, art. 28h i art. 28g w taki sposób, aby wprowadzić zasadę generalną, że prezydenta (wójta, burmistrza) w razie jego nieobec</w:t>
      </w:r>
      <w:r w:rsidR="0059530E">
        <w:rPr>
          <w:rFonts w:ascii="Aptos" w:hAnsi="Aptos"/>
          <w:color w:val="000000" w:themeColor="text1"/>
          <w:spacing w:val="-4"/>
          <w:sz w:val="22"/>
          <w:szCs w:val="22"/>
        </w:rPr>
        <w:softHyphen/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>ności</w:t>
      </w:r>
      <w:r w:rsidR="003D6B03" w:rsidRPr="0059530E">
        <w:rPr>
          <w:rFonts w:ascii="Aptos" w:hAnsi="Aptos"/>
          <w:color w:val="000000" w:themeColor="text1"/>
          <w:spacing w:val="-4"/>
          <w:sz w:val="22"/>
          <w:szCs w:val="22"/>
        </w:rPr>
        <w:t>,</w:t>
      </w:r>
      <w:r w:rsidR="00067649" w:rsidRPr="0059530E">
        <w:rPr>
          <w:rFonts w:ascii="Aptos" w:hAnsi="Aptos"/>
          <w:color w:val="000000" w:themeColor="text1"/>
          <w:spacing w:val="-4"/>
          <w:sz w:val="22"/>
          <w:szCs w:val="22"/>
        </w:rPr>
        <w:t xml:space="preserve"> zarówno krótkotrwałej jak i tej związanej z wygaśnięciem mandatu, zastępuje jego zastępca i wykonuje zadania z pomocą kierownictwa gminy (innych zastępców, jeżeli są, sekretarza i skarbnika).</w:t>
      </w:r>
    </w:p>
    <w:p w14:paraId="0635EE42" w14:textId="091DE3FD" w:rsidR="00067649" w:rsidRP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>Jeżeli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nie </w:t>
      </w:r>
      <w:r>
        <w:rPr>
          <w:rFonts w:ascii="Aptos" w:hAnsi="Aptos"/>
          <w:color w:val="000000" w:themeColor="text1"/>
          <w:sz w:val="22"/>
          <w:szCs w:val="22"/>
        </w:rPr>
        <w:t>ma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możliwości przejęcia zadań i kompetencji prezydenta przez zastępcę </w:t>
      </w:r>
      <w:r>
        <w:rPr>
          <w:rFonts w:ascii="Aptos" w:hAnsi="Aptos"/>
          <w:color w:val="000000" w:themeColor="text1"/>
          <w:sz w:val="22"/>
          <w:szCs w:val="22"/>
        </w:rPr>
        <w:t>-</w:t>
      </w:r>
      <w:r w:rsidRPr="00067649">
        <w:rPr>
          <w:rFonts w:ascii="Aptos" w:hAnsi="Aptos"/>
          <w:color w:val="000000" w:themeColor="text1"/>
          <w:sz w:val="22"/>
          <w:szCs w:val="22"/>
        </w:rPr>
        <w:t xml:space="preserve"> ustawowo przesądzić powierzenie tych obowiązków </w:t>
      </w:r>
      <w:r>
        <w:rPr>
          <w:rFonts w:ascii="Aptos" w:hAnsi="Aptos"/>
          <w:color w:val="000000" w:themeColor="text1"/>
          <w:sz w:val="22"/>
          <w:szCs w:val="22"/>
        </w:rPr>
        <w:t xml:space="preserve">w okresie przejściowym </w:t>
      </w:r>
      <w:r w:rsidRPr="00067649">
        <w:rPr>
          <w:rFonts w:ascii="Aptos" w:hAnsi="Aptos"/>
          <w:color w:val="000000" w:themeColor="text1"/>
          <w:sz w:val="22"/>
          <w:szCs w:val="22"/>
        </w:rPr>
        <w:t>sekretarzowi gminy</w:t>
      </w:r>
      <w:r w:rsidRPr="00067649">
        <w:rPr>
          <w:rFonts w:ascii="Aptos" w:hAnsi="Aptos"/>
          <w:b/>
          <w:bCs/>
          <w:color w:val="000000" w:themeColor="text1"/>
          <w:sz w:val="22"/>
          <w:szCs w:val="22"/>
        </w:rPr>
        <w:t>.</w:t>
      </w:r>
    </w:p>
    <w:p w14:paraId="1836907B" w14:textId="6A1DA2C4" w:rsidR="00067649" w:rsidRDefault="00067649" w:rsidP="0059530E">
      <w:pPr>
        <w:pStyle w:val="Akapitzlist"/>
        <w:numPr>
          <w:ilvl w:val="0"/>
          <w:numId w:val="3"/>
        </w:numPr>
        <w:ind w:left="284" w:hanging="284"/>
        <w:jc w:val="both"/>
        <w:rPr>
          <w:rFonts w:ascii="Aptos" w:hAnsi="Aptos"/>
          <w:color w:val="000000" w:themeColor="text1"/>
          <w:sz w:val="22"/>
          <w:szCs w:val="22"/>
        </w:rPr>
      </w:pPr>
      <w:r>
        <w:rPr>
          <w:rFonts w:ascii="Aptos" w:hAnsi="Aptos"/>
          <w:color w:val="000000" w:themeColor="text1"/>
          <w:sz w:val="22"/>
          <w:szCs w:val="22"/>
        </w:rPr>
        <w:t>W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celu zagwarantowania przejrzystości działania samorządu lokalnego</w:t>
      </w:r>
      <w:r>
        <w:rPr>
          <w:rFonts w:ascii="Aptos" w:hAnsi="Aptos"/>
          <w:color w:val="000000" w:themeColor="text1"/>
          <w:sz w:val="22"/>
          <w:szCs w:val="22"/>
        </w:rPr>
        <w:t xml:space="preserve"> oraz formalnego potwierdze</w:t>
      </w:r>
      <w:r w:rsidR="0059530E">
        <w:rPr>
          <w:rFonts w:ascii="Aptos" w:hAnsi="Aptos"/>
          <w:color w:val="000000" w:themeColor="text1"/>
          <w:sz w:val="22"/>
          <w:szCs w:val="22"/>
        </w:rPr>
        <w:softHyphen/>
      </w:r>
      <w:r>
        <w:rPr>
          <w:rFonts w:ascii="Aptos" w:hAnsi="Aptos"/>
          <w:color w:val="000000" w:themeColor="text1"/>
          <w:sz w:val="22"/>
          <w:szCs w:val="22"/>
        </w:rPr>
        <w:t>nia stanu faktycznego zobowiązać ustawowo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premier</w:t>
      </w:r>
      <w:r w:rsidR="00C82FD9">
        <w:rPr>
          <w:rFonts w:ascii="Aptos" w:hAnsi="Aptos"/>
          <w:color w:val="000000" w:themeColor="text1"/>
          <w:sz w:val="22"/>
          <w:szCs w:val="22"/>
        </w:rPr>
        <w:t>a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C82FD9">
        <w:rPr>
          <w:rFonts w:ascii="Aptos" w:hAnsi="Aptos"/>
          <w:color w:val="000000" w:themeColor="text1"/>
          <w:sz w:val="22"/>
          <w:szCs w:val="22"/>
        </w:rPr>
        <w:t>do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potwierdzenia </w:t>
      </w:r>
      <w:r w:rsidRPr="00477760">
        <w:rPr>
          <w:rFonts w:ascii="Aptos" w:hAnsi="Aptos"/>
          <w:color w:val="000000" w:themeColor="text1"/>
          <w:sz w:val="22"/>
          <w:szCs w:val="22"/>
        </w:rPr>
        <w:t>formalnym aktem fakt</w:t>
      </w:r>
      <w:r w:rsidR="00C82FD9">
        <w:rPr>
          <w:rFonts w:ascii="Aptos" w:hAnsi="Aptos"/>
          <w:color w:val="000000" w:themeColor="text1"/>
          <w:sz w:val="22"/>
          <w:szCs w:val="22"/>
        </w:rPr>
        <w:t>u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pełnienia obowiązków organu wykonawczego przez osobę, która na mocy ustawy przejmuje t</w:t>
      </w:r>
      <w:r w:rsidR="000914DC">
        <w:rPr>
          <w:rFonts w:ascii="Aptos" w:hAnsi="Aptos"/>
          <w:color w:val="000000" w:themeColor="text1"/>
          <w:sz w:val="22"/>
          <w:szCs w:val="22"/>
        </w:rPr>
        <w:t>ę</w:t>
      </w:r>
      <w:r w:rsidRPr="00477760">
        <w:rPr>
          <w:rFonts w:ascii="Aptos" w:hAnsi="Aptos"/>
          <w:color w:val="000000" w:themeColor="text1"/>
          <w:sz w:val="22"/>
          <w:szCs w:val="22"/>
        </w:rPr>
        <w:t xml:space="preserve"> funkcję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w terminie 14 dni od daty wygaśnięcia mandatu</w:t>
      </w:r>
      <w:r w:rsidRPr="00477760">
        <w:rPr>
          <w:rFonts w:ascii="Aptos" w:hAnsi="Aptos"/>
          <w:color w:val="000000" w:themeColor="text1"/>
          <w:sz w:val="22"/>
          <w:szCs w:val="22"/>
        </w:rPr>
        <w:t>.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Jeżeli premier nie </w:t>
      </w:r>
      <w:r w:rsidR="00EC38CE">
        <w:rPr>
          <w:rFonts w:ascii="Aptos" w:hAnsi="Aptos"/>
          <w:color w:val="000000" w:themeColor="text1"/>
          <w:sz w:val="22"/>
          <w:szCs w:val="22"/>
        </w:rPr>
        <w:t>wy</w:t>
      </w:r>
      <w:r w:rsidR="00C82FD9">
        <w:rPr>
          <w:rFonts w:ascii="Aptos" w:hAnsi="Aptos"/>
          <w:color w:val="000000" w:themeColor="text1"/>
          <w:sz w:val="22"/>
          <w:szCs w:val="22"/>
        </w:rPr>
        <w:t>kona obowiązku w</w:t>
      </w:r>
      <w:r w:rsidR="0059530E">
        <w:rPr>
          <w:rFonts w:ascii="Aptos" w:hAnsi="Aptos"/>
          <w:color w:val="000000" w:themeColor="text1"/>
          <w:sz w:val="22"/>
          <w:szCs w:val="22"/>
        </w:rPr>
        <w:t> </w:t>
      </w:r>
      <w:r w:rsidR="00C82FD9">
        <w:rPr>
          <w:rFonts w:ascii="Aptos" w:hAnsi="Aptos"/>
          <w:color w:val="000000" w:themeColor="text1"/>
          <w:sz w:val="22"/>
          <w:szCs w:val="22"/>
        </w:rPr>
        <w:t>tym terminie</w:t>
      </w:r>
      <w:r w:rsidR="00EC38CE">
        <w:rPr>
          <w:rFonts w:ascii="Aptos" w:hAnsi="Aptos"/>
          <w:color w:val="000000" w:themeColor="text1"/>
          <w:sz w:val="22"/>
          <w:szCs w:val="22"/>
        </w:rPr>
        <w:t>,</w:t>
      </w:r>
      <w:r w:rsidR="00C82FD9">
        <w:rPr>
          <w:rFonts w:ascii="Aptos" w:hAnsi="Aptos"/>
          <w:color w:val="000000" w:themeColor="text1"/>
          <w:sz w:val="22"/>
          <w:szCs w:val="22"/>
        </w:rPr>
        <w:t xml:space="preserve"> potwierdzenia stanu faktycznego dokonuje inny wskazany ustawowo organ.</w:t>
      </w:r>
    </w:p>
    <w:p w14:paraId="7EBE6EEB" w14:textId="77777777" w:rsidR="00C82FD9" w:rsidRPr="00EC7F90" w:rsidRDefault="00C82FD9" w:rsidP="00C82FD9">
      <w:pPr>
        <w:pStyle w:val="Akapitzlist"/>
        <w:ind w:left="1068"/>
        <w:jc w:val="both"/>
        <w:rPr>
          <w:rFonts w:ascii="Aptos" w:hAnsi="Aptos"/>
          <w:color w:val="000000" w:themeColor="text1"/>
          <w:sz w:val="16"/>
          <w:szCs w:val="16"/>
        </w:rPr>
      </w:pPr>
    </w:p>
    <w:p w14:paraId="7E16413A" w14:textId="7085E6EE" w:rsidR="00C82FD9" w:rsidRPr="00C82FD9" w:rsidRDefault="00C82FD9" w:rsidP="00EC7F90">
      <w:pPr>
        <w:pStyle w:val="Akapitzlist"/>
        <w:spacing w:after="120"/>
        <w:ind w:left="1066"/>
        <w:jc w:val="center"/>
        <w:rPr>
          <w:rFonts w:ascii="Aptos" w:hAnsi="Aptos"/>
          <w:b/>
          <w:bCs/>
          <w:color w:val="000000" w:themeColor="text1"/>
          <w:sz w:val="22"/>
          <w:szCs w:val="22"/>
        </w:rPr>
      </w:pPr>
      <w:r>
        <w:rPr>
          <w:rFonts w:ascii="Aptos" w:hAnsi="Aptos"/>
          <w:b/>
          <w:bCs/>
          <w:color w:val="000000" w:themeColor="text1"/>
          <w:sz w:val="22"/>
          <w:szCs w:val="22"/>
        </w:rPr>
        <w:t>Uzasadnienie</w:t>
      </w:r>
    </w:p>
    <w:p w14:paraId="2286466F" w14:textId="0DFA227B" w:rsidR="008765F7" w:rsidRPr="0059530E" w:rsidRDefault="00C82FD9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T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o 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najprostszy i 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najefektywniejszy kierunek zmiany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mającej na celu zagwarantowanie ciągłości działania gminy na wypadek wcześniejszego wygaśnięcia mandatu wójta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, praktycznie nie</w:t>
      </w:r>
      <w:r w:rsidR="0059530E">
        <w:rPr>
          <w:rFonts w:ascii="Aptos" w:hAnsi="Aptos"/>
          <w:color w:val="000000" w:themeColor="text1"/>
          <w:spacing w:val="-6"/>
          <w:sz w:val="22"/>
          <w:szCs w:val="22"/>
        </w:rPr>
        <w:t>rodzący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żadnego ryzyka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. </w:t>
      </w:r>
    </w:p>
    <w:p w14:paraId="4DA89F4F" w14:textId="4976AAB3" w:rsidR="008765F7" w:rsidRPr="0059530E" w:rsidRDefault="00C82FD9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Rozwiązanie to likwiduje zagrożenie, które niejednokrotnie stało się faktem w okresie rządów Prawa i Sprawiedliwości, </w:t>
      </w:r>
      <w:r w:rsidR="008765F7" w:rsidRPr="0059530E">
        <w:rPr>
          <w:rFonts w:ascii="Aptos" w:hAnsi="Aptos"/>
          <w:color w:val="000000" w:themeColor="text1"/>
          <w:spacing w:val="-6"/>
          <w:sz w:val="22"/>
          <w:szCs w:val="22"/>
        </w:rPr>
        <w:t>kiedy to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polityczne układanki i chęć przejęcia władzy wykonawczej w opozycyjnym wobec rządu samorządzie lokalnym, a nie dobro samorządu i mieszkańców gminy, przesądza</w:t>
      </w:r>
      <w:r w:rsidR="00EC38CE">
        <w:rPr>
          <w:rFonts w:ascii="Aptos" w:hAnsi="Aptos"/>
          <w:color w:val="000000" w:themeColor="text1"/>
          <w:spacing w:val="-6"/>
          <w:sz w:val="22"/>
          <w:szCs w:val="22"/>
        </w:rPr>
        <w:t>ły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o wskazaniu osoby pełniącej obowiązki prezydenta miasta (wójta, burmistrza).</w:t>
      </w:r>
    </w:p>
    <w:p w14:paraId="1AE5EFE2" w14:textId="50098407" w:rsidR="003D6B03" w:rsidRPr="0059530E" w:rsidRDefault="008765F7" w:rsidP="0059530E">
      <w:pPr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Naturalnym, dla zapewnienia sprawności realizacji zadań w okresie przejściowym</w:t>
      </w:r>
      <w:r w:rsidR="000914DC">
        <w:rPr>
          <w:rFonts w:ascii="Aptos" w:hAnsi="Aptos"/>
          <w:color w:val="000000" w:themeColor="text1"/>
          <w:spacing w:val="-6"/>
          <w:sz w:val="22"/>
          <w:szCs w:val="22"/>
        </w:rPr>
        <w:t>,</w:t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jest wykorzystanie potencjału najlepiej przygotowanego do tej roli zespołu ludzi. </w:t>
      </w:r>
    </w:p>
    <w:p w14:paraId="2FB18177" w14:textId="181AD4FD" w:rsidR="00A66A7E" w:rsidRDefault="008765F7" w:rsidP="00EC38CE">
      <w:pPr>
        <w:spacing w:after="120"/>
        <w:ind w:firstLine="284"/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W mniejszych jednostkach, w których niejednokrotnie organ wykonawczy nie ma zastępców i deleguje szereg zadań sekretarzowi, postulujemy o powierzenie obowiązków właśnie temu najwyższemu rangą urzęd</w:t>
      </w:r>
      <w:r w:rsidR="00EC7F90">
        <w:rPr>
          <w:rFonts w:ascii="Aptos" w:hAnsi="Aptos"/>
          <w:color w:val="000000" w:themeColor="text1"/>
          <w:spacing w:val="-6"/>
          <w:sz w:val="22"/>
          <w:szCs w:val="22"/>
        </w:rPr>
        <w:softHyphen/>
      </w:r>
      <w:r w:rsidRPr="0059530E">
        <w:rPr>
          <w:rFonts w:ascii="Aptos" w:hAnsi="Aptos"/>
          <w:color w:val="000000" w:themeColor="text1"/>
          <w:spacing w:val="-6"/>
          <w:sz w:val="22"/>
          <w:szCs w:val="22"/>
        </w:rPr>
        <w:t>nikowi.</w:t>
      </w:r>
      <w:r w:rsidR="003D6B03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 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>Od 2009 r. (z dniem wejścia w życie nowej ustawy o pracownikach samorządowych) to stanowisko zmieniło charakter – z politycznego (obsadzanego poprzez powołanie) na urzędnicze (obsadzane w oparciu o</w:t>
      </w:r>
      <w:r w:rsidR="00EC7F90">
        <w:rPr>
          <w:rFonts w:ascii="Aptos" w:hAnsi="Aptos"/>
          <w:color w:val="000000" w:themeColor="text1"/>
          <w:spacing w:val="-6"/>
          <w:sz w:val="22"/>
          <w:szCs w:val="22"/>
        </w:rPr>
        <w:t> </w:t>
      </w:r>
      <w:r w:rsidR="00067649" w:rsidRPr="0059530E">
        <w:rPr>
          <w:rFonts w:ascii="Aptos" w:hAnsi="Aptos"/>
          <w:color w:val="000000" w:themeColor="text1"/>
          <w:spacing w:val="-6"/>
          <w:sz w:val="22"/>
          <w:szCs w:val="22"/>
        </w:rPr>
        <w:t xml:space="preserve">umowę o pracę). Zmiana ta miała na celu ustabilizowanie sytuacji na najwyższym poziomie zarządzania jednostką samorządu terytorialnego, w tym zapewnienie ciągłości działania administracji samorządowej - niezależnie od kadencyjności jej organów: stanowiącego i wykonawczego. Art. 33 ust. 4 ustawy o samorządzie gminnym zrównuje kompetencyjnie sekretarza z zastępcami – prezydent może powierzyć prowadzenie spraw miasta zarówno zastępcom, jak i sekretarzowi. Powierzenie więc sekretarzowi miasta kierowania jednostką samorządu terytorialnego w okresie przejściowym, w przypadku braku zastępców, wydaje się naturalną konsekwencją zrównania jego roli w mieście z innymi stanowiskami zaliczanymi do ścisłego kierownictwa. </w:t>
      </w:r>
    </w:p>
    <w:p w14:paraId="67F867FE" w14:textId="107DBA7C" w:rsidR="00EC38CE" w:rsidRDefault="00EC38CE" w:rsidP="00EC38CE">
      <w:pPr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>
        <w:rPr>
          <w:rFonts w:ascii="Aptos" w:hAnsi="Aptos"/>
          <w:color w:val="000000" w:themeColor="text1"/>
          <w:spacing w:val="-6"/>
          <w:sz w:val="22"/>
          <w:szCs w:val="22"/>
        </w:rPr>
        <w:t>Dąbrowa Górnicza, 15 grudnia 2023 r.</w:t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  <w:t>Za Zarząd</w:t>
      </w:r>
    </w:p>
    <w:p w14:paraId="4267E6E3" w14:textId="5E3CE079" w:rsidR="00EC38CE" w:rsidRPr="00EC38CE" w:rsidRDefault="00EC38CE" w:rsidP="00EC38CE">
      <w:pPr>
        <w:jc w:val="both"/>
        <w:rPr>
          <w:rFonts w:ascii="Aptos" w:hAnsi="Aptos"/>
          <w:i/>
          <w:color w:val="000000" w:themeColor="text1"/>
          <w:spacing w:val="-6"/>
          <w:sz w:val="22"/>
          <w:szCs w:val="22"/>
        </w:rPr>
      </w:pP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</w:r>
      <w:r w:rsidRPr="00EC38CE">
        <w:rPr>
          <w:rFonts w:ascii="Aptos" w:hAnsi="Aptos"/>
          <w:i/>
          <w:color w:val="000000" w:themeColor="text1"/>
          <w:spacing w:val="-6"/>
          <w:sz w:val="22"/>
          <w:szCs w:val="22"/>
        </w:rPr>
        <w:tab/>
        <w:t>(-) Zygmunt Frankiewicz</w:t>
      </w:r>
    </w:p>
    <w:p w14:paraId="607C7AAA" w14:textId="1047B78D" w:rsidR="00EC38CE" w:rsidRPr="0059530E" w:rsidRDefault="00EC38CE" w:rsidP="00EC38CE">
      <w:pPr>
        <w:jc w:val="both"/>
        <w:rPr>
          <w:rFonts w:ascii="Aptos" w:hAnsi="Aptos"/>
          <w:color w:val="000000" w:themeColor="text1"/>
          <w:spacing w:val="-6"/>
          <w:sz w:val="22"/>
          <w:szCs w:val="22"/>
        </w:rPr>
      </w:pP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</w:r>
      <w:r>
        <w:rPr>
          <w:rFonts w:ascii="Aptos" w:hAnsi="Aptos"/>
          <w:color w:val="000000" w:themeColor="text1"/>
          <w:spacing w:val="-6"/>
          <w:sz w:val="22"/>
          <w:szCs w:val="22"/>
        </w:rPr>
        <w:tab/>
        <w:t xml:space="preserve">         PREZES ZWIĄZKU</w:t>
      </w:r>
    </w:p>
    <w:sectPr w:rsidR="00EC38CE" w:rsidRPr="0059530E" w:rsidSect="00EC38CE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54E0" w14:textId="77777777" w:rsidR="006C284A" w:rsidRDefault="006C284A" w:rsidP="00B67696">
      <w:r>
        <w:separator/>
      </w:r>
    </w:p>
  </w:endnote>
  <w:endnote w:type="continuationSeparator" w:id="0">
    <w:p w14:paraId="22F43BA1" w14:textId="77777777" w:rsidR="006C284A" w:rsidRDefault="006C284A" w:rsidP="00B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A959" w14:textId="77777777" w:rsidR="006C284A" w:rsidRDefault="006C284A" w:rsidP="00B67696">
      <w:r>
        <w:separator/>
      </w:r>
    </w:p>
  </w:footnote>
  <w:footnote w:type="continuationSeparator" w:id="0">
    <w:p w14:paraId="552000D4" w14:textId="77777777" w:rsidR="006C284A" w:rsidRDefault="006C284A" w:rsidP="00B6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1750B"/>
    <w:multiLevelType w:val="multilevel"/>
    <w:tmpl w:val="CFE64F9A"/>
    <w:lvl w:ilvl="0">
      <w:start w:val="1"/>
      <w:numFmt w:val="decimal"/>
      <w:pStyle w:val="Rozdzi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18579E"/>
    <w:multiLevelType w:val="hybridMultilevel"/>
    <w:tmpl w:val="F7C25588"/>
    <w:lvl w:ilvl="0" w:tplc="E83CCE0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EA7491"/>
    <w:multiLevelType w:val="hybridMultilevel"/>
    <w:tmpl w:val="7F264014"/>
    <w:lvl w:ilvl="0" w:tplc="7382B01A">
      <w:start w:val="1"/>
      <w:numFmt w:val="decimal"/>
      <w:lvlText w:val="Rozdział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9E"/>
    <w:rsid w:val="00015914"/>
    <w:rsid w:val="00067649"/>
    <w:rsid w:val="000854CF"/>
    <w:rsid w:val="000914DC"/>
    <w:rsid w:val="00164713"/>
    <w:rsid w:val="001E7E22"/>
    <w:rsid w:val="0020309E"/>
    <w:rsid w:val="0021445A"/>
    <w:rsid w:val="00280AC8"/>
    <w:rsid w:val="00281E97"/>
    <w:rsid w:val="003D6B03"/>
    <w:rsid w:val="00477760"/>
    <w:rsid w:val="0048669E"/>
    <w:rsid w:val="0049726F"/>
    <w:rsid w:val="004A3AAC"/>
    <w:rsid w:val="0059530E"/>
    <w:rsid w:val="006C284A"/>
    <w:rsid w:val="00714588"/>
    <w:rsid w:val="00792785"/>
    <w:rsid w:val="00814F2E"/>
    <w:rsid w:val="00842682"/>
    <w:rsid w:val="00850DE6"/>
    <w:rsid w:val="008765F7"/>
    <w:rsid w:val="0092382C"/>
    <w:rsid w:val="009E6C20"/>
    <w:rsid w:val="00A66A7E"/>
    <w:rsid w:val="00B67696"/>
    <w:rsid w:val="00B71B94"/>
    <w:rsid w:val="00BA1207"/>
    <w:rsid w:val="00BA221C"/>
    <w:rsid w:val="00C82FD9"/>
    <w:rsid w:val="00CA556A"/>
    <w:rsid w:val="00CD5A82"/>
    <w:rsid w:val="00CF10DD"/>
    <w:rsid w:val="00D81B7C"/>
    <w:rsid w:val="00DD7F36"/>
    <w:rsid w:val="00DF1D68"/>
    <w:rsid w:val="00DF3A7A"/>
    <w:rsid w:val="00EC38CE"/>
    <w:rsid w:val="00EC7F90"/>
    <w:rsid w:val="00ED08C7"/>
    <w:rsid w:val="00F336B1"/>
    <w:rsid w:val="00F61919"/>
    <w:rsid w:val="00F84E86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D01E"/>
  <w15:chartTrackingRefBased/>
  <w15:docId w15:val="{E40190E7-A7E8-8747-8470-4069039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6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1">
    <w:name w:val="Rozdział 1"/>
    <w:basedOn w:val="Nagwek1"/>
    <w:link w:val="Rozdzia1Znak"/>
    <w:autoRedefine/>
    <w:qFormat/>
    <w:rsid w:val="00A66A7E"/>
    <w:pPr>
      <w:keepNext w:val="0"/>
      <w:keepLines w:val="0"/>
      <w:numPr>
        <w:numId w:val="2"/>
      </w:numPr>
      <w:spacing w:after="240"/>
      <w:ind w:left="360" w:hanging="360"/>
    </w:pPr>
    <w:rPr>
      <w:rFonts w:ascii="Arial" w:eastAsiaTheme="minorHAnsi" w:hAnsi="Arial" w:cs="Arial"/>
      <w:color w:val="000000" w:themeColor="text1"/>
      <w:sz w:val="28"/>
      <w:szCs w:val="24"/>
      <w:lang w:val="en-GB"/>
    </w:rPr>
  </w:style>
  <w:style w:type="character" w:customStyle="1" w:styleId="Rozdzia1Znak">
    <w:name w:val="Rozdział 1 Znak"/>
    <w:basedOn w:val="Domylnaczcionkaakapitu"/>
    <w:link w:val="Rozdzia1"/>
    <w:rsid w:val="00A66A7E"/>
    <w:rPr>
      <w:rFonts w:ascii="Arial" w:hAnsi="Arial" w:cs="Arial"/>
      <w:color w:val="000000" w:themeColor="text1"/>
      <w:sz w:val="28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66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20309E"/>
  </w:style>
  <w:style w:type="character" w:styleId="Hipercze">
    <w:name w:val="Hyperlink"/>
    <w:basedOn w:val="Domylnaczcionkaakapitu"/>
    <w:uiPriority w:val="99"/>
    <w:semiHidden/>
    <w:unhideWhenUsed/>
    <w:rsid w:val="0020309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6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6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41865-3AF9-4DC1-8955-AD1E7A153A1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c04306a-7e29-4598-8bc0-52e63436a2cf"/>
    <ds:schemaRef ds:uri="797f1dc2-8d94-4174-b000-101e7575fb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EF6A21-4F3D-4BE4-9B7F-B69DBF71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92E18-58F0-45DD-BC43-C68CAD227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576</Words>
  <Characters>3783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Śpiewok</dc:creator>
  <cp:keywords/>
  <dc:description/>
  <cp:lastModifiedBy>Joanna Proniewicz</cp:lastModifiedBy>
  <cp:revision>4</cp:revision>
  <dcterms:created xsi:type="dcterms:W3CDTF">2023-12-18T07:55:00Z</dcterms:created>
  <dcterms:modified xsi:type="dcterms:W3CDTF">2023-12-19T08:50:00Z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