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36410" w14:textId="77777777" w:rsidR="00614DBF" w:rsidRPr="003A46CA" w:rsidRDefault="00614DBF" w:rsidP="00011B34">
      <w:pPr>
        <w:spacing w:before="120" w:line="360" w:lineRule="auto"/>
        <w:jc w:val="center"/>
        <w:rPr>
          <w:b/>
          <w:bCs/>
        </w:rPr>
      </w:pPr>
      <w:r w:rsidRPr="003A46CA">
        <w:rPr>
          <w:b/>
          <w:bCs/>
        </w:rPr>
        <w:t>UZASADNIENIE</w:t>
      </w:r>
    </w:p>
    <w:p w14:paraId="69C92FE7" w14:textId="56E85578" w:rsidR="00372DB5" w:rsidRPr="003A46CA" w:rsidRDefault="002D59C2" w:rsidP="00372DB5">
      <w:pPr>
        <w:autoSpaceDE w:val="0"/>
        <w:autoSpaceDN w:val="0"/>
        <w:adjustRightInd w:val="0"/>
        <w:spacing w:before="120" w:line="360" w:lineRule="auto"/>
        <w:jc w:val="both"/>
      </w:pPr>
      <w:r w:rsidRPr="003A46CA">
        <w:t>Celem Szwajcarsko</w:t>
      </w:r>
      <w:r w:rsidR="003A46CA">
        <w:t>-</w:t>
      </w:r>
      <w:r w:rsidRPr="003A46CA">
        <w:t xml:space="preserve">Polskiego Programu Współpracy </w:t>
      </w:r>
      <w:r w:rsidR="00937EF7" w:rsidRPr="003A46CA">
        <w:t xml:space="preserve"> </w:t>
      </w:r>
      <w:r w:rsidRPr="003A46CA">
        <w:t xml:space="preserve">jest </w:t>
      </w:r>
      <w:r w:rsidR="00372DB5" w:rsidRPr="003A46CA">
        <w:t xml:space="preserve">m.in. </w:t>
      </w:r>
      <w:r w:rsidRPr="003A46CA">
        <w:t xml:space="preserve">zmniejszanie różnic społeczno-gospodarczych pomiędzy miastami polskimi i Unii Europejskiej poprzez podnoszenie jakości życia mieszkańców miast znajdujących się w niekorzystnej sytuacji. </w:t>
      </w:r>
      <w:r w:rsidR="00372DB5" w:rsidRPr="003A46CA">
        <w:t xml:space="preserve">Cel ten zostanie zrealizowany </w:t>
      </w:r>
      <w:r w:rsidR="00C77838" w:rsidRPr="003A46CA">
        <w:t xml:space="preserve">m.in. </w:t>
      </w:r>
      <w:r w:rsidR="00372DB5" w:rsidRPr="003A46CA">
        <w:t>poprzez Szwajcarsko</w:t>
      </w:r>
      <w:r w:rsidR="003A46CA">
        <w:t>-</w:t>
      </w:r>
      <w:r w:rsidR="00372DB5" w:rsidRPr="003A46CA">
        <w:t xml:space="preserve">Polski Program Rozwoju Miast (dalej: Program Rozwoju Miast). </w:t>
      </w:r>
      <w:r w:rsidRPr="003A46CA">
        <w:t xml:space="preserve">Realizacji </w:t>
      </w:r>
      <w:r w:rsidR="00372DB5" w:rsidRPr="003A46CA">
        <w:t xml:space="preserve">ww. </w:t>
      </w:r>
      <w:r w:rsidRPr="003A46CA">
        <w:t>celu będzie służyło finansowanie projektów uwzględniających zasady zrównoważonego rozwoju, ukierunkowanych na rozwój gospodarczy lub środowiskowy i społeczny</w:t>
      </w:r>
      <w:r w:rsidR="00372DB5" w:rsidRPr="003A46CA">
        <w:t>.</w:t>
      </w:r>
    </w:p>
    <w:p w14:paraId="3487740B" w14:textId="34A05BE2" w:rsidR="00372DB5" w:rsidRPr="003A46CA" w:rsidRDefault="00372DB5" w:rsidP="00372DB5">
      <w:pPr>
        <w:autoSpaceDE w:val="0"/>
        <w:autoSpaceDN w:val="0"/>
        <w:adjustRightInd w:val="0"/>
        <w:spacing w:before="120" w:line="360" w:lineRule="auto"/>
        <w:jc w:val="both"/>
      </w:pPr>
      <w:r w:rsidRPr="003A46CA">
        <w:t xml:space="preserve">Program Rozwoju Miast będzie skierowany do 139 polskich miast średniej wielkości, które zostały wskazane jako tracące funkcje społeczno-gospodarcze lub zagrożone utratą funkcji społeczno-gospodarczych (miasta, w których dystans rozwojowy ulega zwiększeniu), aby osiągnąć jak największe zmiany w tym zakresie, przy jednoczesnym zaspokojeniu określonych potrzeb w ramach poszczególnych miast. </w:t>
      </w:r>
    </w:p>
    <w:p w14:paraId="1BFAAACA" w14:textId="59859178" w:rsidR="002D59C2" w:rsidRPr="003A46CA" w:rsidRDefault="002D59C2" w:rsidP="002D59C2">
      <w:pPr>
        <w:autoSpaceDE w:val="0"/>
        <w:autoSpaceDN w:val="0"/>
        <w:adjustRightInd w:val="0"/>
        <w:spacing w:before="120" w:line="360" w:lineRule="auto"/>
        <w:jc w:val="both"/>
      </w:pPr>
      <w:r w:rsidRPr="003A46CA">
        <w:t xml:space="preserve">Wnioskodawcy będą mogli ubiegać się o realizację projektów ukierunkowanych na podnoszenie jakości życia mieszkańców w dwunastu obszarach tematycznych: </w:t>
      </w:r>
    </w:p>
    <w:p w14:paraId="3C608840" w14:textId="77777777" w:rsidR="002D59C2" w:rsidRPr="003A46CA" w:rsidRDefault="002D59C2" w:rsidP="002D59C2">
      <w:pPr>
        <w:pStyle w:val="Akapitzlist"/>
        <w:numPr>
          <w:ilvl w:val="0"/>
          <w:numId w:val="21"/>
        </w:numPr>
        <w:autoSpaceDE w:val="0"/>
        <w:autoSpaceDN w:val="0"/>
        <w:adjustRightInd w:val="0"/>
        <w:spacing w:before="120" w:line="360" w:lineRule="auto"/>
        <w:jc w:val="both"/>
      </w:pPr>
      <w:r w:rsidRPr="003A46CA">
        <w:t xml:space="preserve">kształcenie oraz szkolenie zawodowe i specjalistyczne, </w:t>
      </w:r>
    </w:p>
    <w:p w14:paraId="6D2A0243" w14:textId="77777777" w:rsidR="002D59C2" w:rsidRPr="003A46CA" w:rsidRDefault="002D59C2" w:rsidP="002D59C2">
      <w:pPr>
        <w:pStyle w:val="Akapitzlist"/>
        <w:numPr>
          <w:ilvl w:val="0"/>
          <w:numId w:val="21"/>
        </w:numPr>
        <w:autoSpaceDE w:val="0"/>
        <w:autoSpaceDN w:val="0"/>
        <w:adjustRightInd w:val="0"/>
        <w:spacing w:before="120" w:line="360" w:lineRule="auto"/>
        <w:jc w:val="both"/>
      </w:pPr>
      <w:r w:rsidRPr="003A46CA">
        <w:t xml:space="preserve">finansowanie dla mikro, małych i średnich przedsiębiorstw, </w:t>
      </w:r>
    </w:p>
    <w:p w14:paraId="15EA94D0" w14:textId="77777777" w:rsidR="002D59C2" w:rsidRPr="003A46CA" w:rsidRDefault="002D59C2" w:rsidP="002D59C2">
      <w:pPr>
        <w:pStyle w:val="Akapitzlist"/>
        <w:numPr>
          <w:ilvl w:val="0"/>
          <w:numId w:val="21"/>
        </w:numPr>
        <w:autoSpaceDE w:val="0"/>
        <w:autoSpaceDN w:val="0"/>
        <w:adjustRightInd w:val="0"/>
        <w:spacing w:before="120" w:line="360" w:lineRule="auto"/>
        <w:jc w:val="both"/>
      </w:pPr>
      <w:r w:rsidRPr="003A46CA">
        <w:t xml:space="preserve">wspieranie zarządzania migracją i promowanie działań integracyjnych, </w:t>
      </w:r>
    </w:p>
    <w:p w14:paraId="51561C97" w14:textId="77777777" w:rsidR="002D59C2" w:rsidRPr="003A46CA" w:rsidRDefault="002D59C2" w:rsidP="002D59C2">
      <w:pPr>
        <w:pStyle w:val="Akapitzlist"/>
        <w:numPr>
          <w:ilvl w:val="0"/>
          <w:numId w:val="21"/>
        </w:numPr>
        <w:autoSpaceDE w:val="0"/>
        <w:autoSpaceDN w:val="0"/>
        <w:adjustRightInd w:val="0"/>
        <w:spacing w:before="120" w:line="360" w:lineRule="auto"/>
        <w:jc w:val="both"/>
      </w:pPr>
      <w:r w:rsidRPr="003A46CA">
        <w:t xml:space="preserve">poprawa bezpieczeństwa publicznego, </w:t>
      </w:r>
    </w:p>
    <w:p w14:paraId="12571F55" w14:textId="77777777" w:rsidR="002D59C2" w:rsidRPr="003A46CA" w:rsidRDefault="002D59C2" w:rsidP="002D59C2">
      <w:pPr>
        <w:pStyle w:val="Akapitzlist"/>
        <w:numPr>
          <w:ilvl w:val="0"/>
          <w:numId w:val="21"/>
        </w:numPr>
        <w:autoSpaceDE w:val="0"/>
        <w:autoSpaceDN w:val="0"/>
        <w:adjustRightInd w:val="0"/>
        <w:spacing w:before="120" w:line="360" w:lineRule="auto"/>
        <w:jc w:val="both"/>
      </w:pPr>
      <w:r w:rsidRPr="003A46CA">
        <w:t xml:space="preserve">efektywność energetyczna i energia odnawialna, </w:t>
      </w:r>
    </w:p>
    <w:p w14:paraId="16C35362" w14:textId="77777777" w:rsidR="002D59C2" w:rsidRPr="003A46CA" w:rsidRDefault="002D59C2" w:rsidP="002D59C2">
      <w:pPr>
        <w:pStyle w:val="Akapitzlist"/>
        <w:numPr>
          <w:ilvl w:val="0"/>
          <w:numId w:val="21"/>
        </w:numPr>
        <w:autoSpaceDE w:val="0"/>
        <w:autoSpaceDN w:val="0"/>
        <w:adjustRightInd w:val="0"/>
        <w:spacing w:before="120" w:line="360" w:lineRule="auto"/>
        <w:jc w:val="both"/>
      </w:pPr>
      <w:r w:rsidRPr="003A46CA">
        <w:t xml:space="preserve">transport publiczny, </w:t>
      </w:r>
    </w:p>
    <w:p w14:paraId="080F93A5" w14:textId="77777777" w:rsidR="002D59C2" w:rsidRPr="003A46CA" w:rsidRDefault="002D59C2" w:rsidP="002D59C2">
      <w:pPr>
        <w:pStyle w:val="Akapitzlist"/>
        <w:numPr>
          <w:ilvl w:val="0"/>
          <w:numId w:val="21"/>
        </w:numPr>
        <w:autoSpaceDE w:val="0"/>
        <w:autoSpaceDN w:val="0"/>
        <w:adjustRightInd w:val="0"/>
        <w:spacing w:before="120" w:line="360" w:lineRule="auto"/>
        <w:jc w:val="both"/>
      </w:pPr>
      <w:r w:rsidRPr="003A46CA">
        <w:t xml:space="preserve">gospodarka wodno-ściekowa, </w:t>
      </w:r>
    </w:p>
    <w:p w14:paraId="06995F10" w14:textId="77777777" w:rsidR="002D59C2" w:rsidRPr="003A46CA" w:rsidRDefault="002D59C2" w:rsidP="002D59C2">
      <w:pPr>
        <w:pStyle w:val="Akapitzlist"/>
        <w:numPr>
          <w:ilvl w:val="0"/>
          <w:numId w:val="21"/>
        </w:numPr>
        <w:autoSpaceDE w:val="0"/>
        <w:autoSpaceDN w:val="0"/>
        <w:adjustRightInd w:val="0"/>
        <w:spacing w:before="120" w:line="360" w:lineRule="auto"/>
        <w:jc w:val="both"/>
      </w:pPr>
      <w:r w:rsidRPr="003A46CA">
        <w:t xml:space="preserve">zarządzanie odpadami, </w:t>
      </w:r>
    </w:p>
    <w:p w14:paraId="7A3FB8E0" w14:textId="77777777" w:rsidR="002D59C2" w:rsidRPr="003A46CA" w:rsidRDefault="002D59C2" w:rsidP="002D59C2">
      <w:pPr>
        <w:pStyle w:val="Akapitzlist"/>
        <w:numPr>
          <w:ilvl w:val="0"/>
          <w:numId w:val="21"/>
        </w:numPr>
        <w:autoSpaceDE w:val="0"/>
        <w:autoSpaceDN w:val="0"/>
        <w:adjustRightInd w:val="0"/>
        <w:spacing w:before="120" w:line="360" w:lineRule="auto"/>
        <w:jc w:val="both"/>
      </w:pPr>
      <w:r w:rsidRPr="003A46CA">
        <w:t xml:space="preserve">ochrona przyrody i różnorodność biologiczna, </w:t>
      </w:r>
    </w:p>
    <w:p w14:paraId="33732483" w14:textId="77777777" w:rsidR="002D59C2" w:rsidRPr="003A46CA" w:rsidRDefault="002D59C2" w:rsidP="002D59C2">
      <w:pPr>
        <w:pStyle w:val="Akapitzlist"/>
        <w:numPr>
          <w:ilvl w:val="0"/>
          <w:numId w:val="21"/>
        </w:numPr>
        <w:autoSpaceDE w:val="0"/>
        <w:autoSpaceDN w:val="0"/>
        <w:adjustRightInd w:val="0"/>
        <w:spacing w:before="120" w:line="360" w:lineRule="auto"/>
        <w:jc w:val="both"/>
      </w:pPr>
      <w:r w:rsidRPr="003A46CA">
        <w:t xml:space="preserve">zdrowie i opieka społeczna, </w:t>
      </w:r>
    </w:p>
    <w:p w14:paraId="0C243541" w14:textId="77777777" w:rsidR="002D59C2" w:rsidRPr="003A46CA" w:rsidRDefault="002D59C2" w:rsidP="002D59C2">
      <w:pPr>
        <w:pStyle w:val="Akapitzlist"/>
        <w:numPr>
          <w:ilvl w:val="0"/>
          <w:numId w:val="21"/>
        </w:numPr>
        <w:autoSpaceDE w:val="0"/>
        <w:autoSpaceDN w:val="0"/>
        <w:adjustRightInd w:val="0"/>
        <w:spacing w:before="120" w:line="360" w:lineRule="auto"/>
        <w:jc w:val="both"/>
      </w:pPr>
      <w:r w:rsidRPr="003A46CA">
        <w:t xml:space="preserve">mniejszości i grupy w niekorzystnej sytuacji społecznej, </w:t>
      </w:r>
    </w:p>
    <w:p w14:paraId="0F1F4473" w14:textId="189F8A98" w:rsidR="002D59C2" w:rsidRPr="003A46CA" w:rsidRDefault="002D59C2" w:rsidP="002D59C2">
      <w:pPr>
        <w:pStyle w:val="Akapitzlist"/>
        <w:numPr>
          <w:ilvl w:val="0"/>
          <w:numId w:val="21"/>
        </w:numPr>
        <w:autoSpaceDE w:val="0"/>
        <w:autoSpaceDN w:val="0"/>
        <w:adjustRightInd w:val="0"/>
        <w:spacing w:before="120" w:line="360" w:lineRule="auto"/>
        <w:jc w:val="both"/>
      </w:pPr>
      <w:r w:rsidRPr="003A46CA">
        <w:t>zaangażowanie obywatelskie i przejrzystość.</w:t>
      </w:r>
    </w:p>
    <w:p w14:paraId="6ABC185C" w14:textId="7A283D24" w:rsidR="00996DAA" w:rsidRPr="003A46CA" w:rsidRDefault="00996DAA" w:rsidP="002D59C2">
      <w:pPr>
        <w:autoSpaceDE w:val="0"/>
        <w:autoSpaceDN w:val="0"/>
        <w:adjustRightInd w:val="0"/>
        <w:spacing w:before="120" w:line="360" w:lineRule="auto"/>
        <w:jc w:val="both"/>
      </w:pPr>
      <w:r w:rsidRPr="003A46CA">
        <w:t>Powyższe cele</w:t>
      </w:r>
      <w:r w:rsidR="00C77838" w:rsidRPr="003A46CA">
        <w:t xml:space="preserve"> pomocy (inaczej obszary tematyczne)</w:t>
      </w:r>
      <w:r w:rsidRPr="003A46CA">
        <w:t xml:space="preserve"> zostały wskazane w Umowie ramowej pomiędzy Rządem Rzeczypospolitej Polskiej a Szwajcarską Radą Federalną w sprawie wdrażania drugiej edycji wsparcia Szwajcarii dla wybranych Państw Członkowskich Unii </w:t>
      </w:r>
      <w:r w:rsidRPr="003A46CA">
        <w:lastRenderedPageBreak/>
        <w:t xml:space="preserve">Europejskiej w celu zmniejszenia różnic społeczno-gospodarczych w obrębie Unii Europejskiej (M. P. 2023 r., poz. 255). </w:t>
      </w:r>
    </w:p>
    <w:p w14:paraId="52E233B8" w14:textId="5CB2CCE0" w:rsidR="002D59C2" w:rsidRPr="003A46CA" w:rsidRDefault="002D59C2" w:rsidP="002D59C2">
      <w:pPr>
        <w:autoSpaceDE w:val="0"/>
        <w:autoSpaceDN w:val="0"/>
        <w:adjustRightInd w:val="0"/>
        <w:spacing w:before="120" w:line="360" w:lineRule="auto"/>
        <w:jc w:val="both"/>
      </w:pPr>
      <w:r w:rsidRPr="003A46CA">
        <w:t xml:space="preserve">Jednocześnie Program </w:t>
      </w:r>
      <w:r w:rsidR="00372DB5" w:rsidRPr="003A46CA">
        <w:t>Rozwoju Miast</w:t>
      </w:r>
      <w:r w:rsidR="00937EF7" w:rsidRPr="003A46CA">
        <w:t xml:space="preserve"> </w:t>
      </w:r>
      <w:r w:rsidRPr="003A46CA">
        <w:t>wpisuje się w cele wskazane w „Strategii na rzecz Odpowiedzialnego Rozwoju”</w:t>
      </w:r>
      <w:r w:rsidR="00937EF7" w:rsidRPr="003A46CA">
        <w:t>(dalej: SOR)</w:t>
      </w:r>
      <w:r w:rsidRPr="003A46CA">
        <w:t xml:space="preserve">, przyjętej w 2017 r. przez Radę Ministrów </w:t>
      </w:r>
      <w:r w:rsidR="00E91ACA">
        <w:br/>
      </w:r>
      <w:r w:rsidRPr="003A46CA">
        <w:t>i wskazującej priorytety w zakresie rozwoju w Polsce. W dokumencie tym wskazano 255 małych i średnich miast, spośród których Polska Akademia Nauk wskazała pierwotnie 122, a następnie 139  jako najbardziej zagrożonych utratą funkcji społeczno-gospodarczych, a tym samym pogłębieniem dystansu rozwojowego. Spostrzeżenia te zostały następnie włączone do „Krajowej Strategii Rozwoju Regionalnego 2030”</w:t>
      </w:r>
      <w:r w:rsidR="00C77838" w:rsidRPr="003A46CA">
        <w:t xml:space="preserve"> (dalej: KSRR)</w:t>
      </w:r>
      <w:r w:rsidRPr="003A46CA">
        <w:t xml:space="preserve"> promującej społecznie wrażliwy i terytorialnie zrównoważony rozwój. KSRR został przyjęty przez Radę Ministrów w dniu 17 września 2019 r., stanowiąc podstawowy dokument kształtujący politykę regionalną w Polsce do 2030 r. Strategia ta wskazała małe i średnie miasta jako jeden z obszarów strategicznej interwencji, który wymaga priorytetowej interwencji na poziomie krajowym ze względu na skumulowane negatywne zjawiska społeczno-gospodarcze. </w:t>
      </w:r>
    </w:p>
    <w:p w14:paraId="4AE6E9A4" w14:textId="6703F843" w:rsidR="002D59C2" w:rsidRPr="003A46CA" w:rsidRDefault="002D59C2" w:rsidP="002D59C2">
      <w:pPr>
        <w:autoSpaceDE w:val="0"/>
        <w:autoSpaceDN w:val="0"/>
        <w:adjustRightInd w:val="0"/>
        <w:spacing w:before="120" w:line="360" w:lineRule="auto"/>
        <w:jc w:val="both"/>
      </w:pPr>
      <w:r w:rsidRPr="003A46CA">
        <w:t>Główne problemy, z jakimi borykają się małe i średnie miasta w Polsce, związane są przede wszystkim z negatywnymi trendami demograficznymi dotyczącymi starzejącego się społeczeństwa i malejącej liczby mieszkańców, a także nieefektywną lokalną gospodarką czy słabo funkcjonującym rynkiem pracy. Istnieją również inne lokalne bariery wzrostu, takie jak: utrzymujące się ubóstwo, braki w podstawowej infrastrukturze, niewystarczające połączenia transportowe, ograniczenia w dostępności transportu i usług. W większości przypadków miasta te są oddalone od prężnych ośrodków miejskich, jakie znaleźć można w stolicach województw, i tym samym pozostają poza ich bezpośrednim pozytywnym wpływem. Nadal odgrywają one jednak ważną rolę w systemie osadniczym, ponieważ są ważnymi ośrodkami aktywności społecznej i gospodarczej na często zmarginalizowanych obszarach wiejskich i w ramach najmniejszych miast. Mogłyby one również posłużyć jako dźwignia do wyjścia z kryzysu.</w:t>
      </w:r>
    </w:p>
    <w:p w14:paraId="179E2394" w14:textId="24FC86D8" w:rsidR="002D59C2" w:rsidRPr="003A46CA" w:rsidRDefault="002D59C2" w:rsidP="002D59C2">
      <w:pPr>
        <w:autoSpaceDE w:val="0"/>
        <w:autoSpaceDN w:val="0"/>
        <w:adjustRightInd w:val="0"/>
        <w:spacing w:before="120" w:line="360" w:lineRule="auto"/>
        <w:jc w:val="both"/>
      </w:pPr>
      <w:r w:rsidRPr="003A46CA">
        <w:t>Samorządy te często wykazują niewystarczającą aktywność i kompetencje w pozyskiwaniu funduszy i inwestorów. To połączenie negatywnych skutków sprawia, że miasta te doświadczają stagnacji lub niskiego tempa rozwoju. Pogłębiające się dysproporcje w zakresie rozwoju zaburzają również spójność terytorialną i destabilizują rozwój kraju</w:t>
      </w:r>
      <w:r w:rsidR="00C77838" w:rsidRPr="003A46CA">
        <w:t xml:space="preserve">. </w:t>
      </w:r>
      <w:r w:rsidRPr="003A46CA">
        <w:t xml:space="preserve">Takie podejście pokazuje, że miasta te wymagają konkretnego, dobrze ukierunkowanego wsparcia, aby uczynić je atrakcyjnym miejscem do życia i pracy, a tym samym przeciwdziałać negatywnym zjawiskom, które spowodowały ich niekorzystną sytuację. To pobudzi je do rozwoju i wzrostu, </w:t>
      </w:r>
      <w:r w:rsidRPr="003A46CA">
        <w:lastRenderedPageBreak/>
        <w:t xml:space="preserve">a w konsekwencji zapewni harmonijny rozwój całego kraju, zmniejszając różnice rozwojowe między polskimi subregionami. </w:t>
      </w:r>
    </w:p>
    <w:p w14:paraId="1C11088D" w14:textId="068B245B" w:rsidR="00937EF7" w:rsidRPr="003A46CA" w:rsidRDefault="002D59C2" w:rsidP="002D59C2">
      <w:pPr>
        <w:autoSpaceDE w:val="0"/>
        <w:autoSpaceDN w:val="0"/>
        <w:adjustRightInd w:val="0"/>
        <w:spacing w:before="120" w:line="360" w:lineRule="auto"/>
        <w:jc w:val="both"/>
      </w:pPr>
      <w:r w:rsidRPr="003A46CA">
        <w:t xml:space="preserve">Program </w:t>
      </w:r>
      <w:r w:rsidR="00372DB5" w:rsidRPr="003A46CA">
        <w:t xml:space="preserve">Rozwoju Miast </w:t>
      </w:r>
      <w:r w:rsidRPr="003A46CA">
        <w:t xml:space="preserve">odpowiada na kluczowe problemy wynikające z wyżej wymienionych negatywnych czynników. </w:t>
      </w:r>
      <w:r w:rsidR="00937EF7" w:rsidRPr="003A46CA">
        <w:t>Jego cele zaś są zgodne z podejściem wskazanym w SOR: Cel II - Wrażliwy społecznie i regionalnie zrównoważony rozwój, Obszar: Zrównoważony rozwój regionalny: „Zrównoważony rozwój społeczny i regionalny to harmonijny rozwój całego kraju, wrażliwy na terytorialną różnorodność i jej atuty, a jednocześnie dbający o zapewnienie całemu społeczeństwu wysokiej jakości życia”.</w:t>
      </w:r>
    </w:p>
    <w:p w14:paraId="52C2C821" w14:textId="0DEDE81D" w:rsidR="002D59C2" w:rsidRPr="003A46CA" w:rsidRDefault="002D59C2" w:rsidP="002D59C2">
      <w:pPr>
        <w:autoSpaceDE w:val="0"/>
        <w:autoSpaceDN w:val="0"/>
        <w:adjustRightInd w:val="0"/>
        <w:spacing w:before="120" w:line="360" w:lineRule="auto"/>
        <w:jc w:val="both"/>
      </w:pPr>
      <w:r w:rsidRPr="003A46CA">
        <w:t xml:space="preserve">Miasta muszą </w:t>
      </w:r>
      <w:r w:rsidR="00937EF7" w:rsidRPr="003A46CA">
        <w:t>odpowiadać</w:t>
      </w:r>
      <w:r w:rsidRPr="003A46CA">
        <w:t xml:space="preserve"> na wiele globalnych wyzwań, między innymi: trendy demograficzne, nierówności sp</w:t>
      </w:r>
      <w:r w:rsidR="00937EF7" w:rsidRPr="003A46CA">
        <w:t>o</w:t>
      </w:r>
      <w:r w:rsidRPr="003A46CA">
        <w:t>łeczne, ale także zmiany klimatu, zanieczyszczenie środowiska (w tym zanieczyszczenie powietrza), rosnące zużycie energii, kwestie mobilności czy emisje CO2. Patrząc na obecne potrzeby małych i średnich miast w Polsce, kwestie włączenia społecznego, a także łagodzenia zmian klimatu i przystosowania się do nich są bardzo istotne dla Pr</w:t>
      </w:r>
      <w:r w:rsidR="00372DB5" w:rsidRPr="003A46CA">
        <w:t>o</w:t>
      </w:r>
      <w:r w:rsidRPr="003A46CA">
        <w:t>gramu</w:t>
      </w:r>
      <w:r w:rsidR="00372DB5" w:rsidRPr="003A46CA">
        <w:t xml:space="preserve"> Rozwoju Miast</w:t>
      </w:r>
      <w:r w:rsidRPr="003A46CA">
        <w:t>.</w:t>
      </w:r>
    </w:p>
    <w:p w14:paraId="374963C7" w14:textId="6DDC74F1" w:rsidR="00372DB5" w:rsidRPr="003A46CA" w:rsidRDefault="00372DB5" w:rsidP="002D59C2">
      <w:pPr>
        <w:autoSpaceDE w:val="0"/>
        <w:autoSpaceDN w:val="0"/>
        <w:adjustRightInd w:val="0"/>
        <w:spacing w:before="120" w:line="360" w:lineRule="auto"/>
        <w:jc w:val="both"/>
      </w:pPr>
      <w:r w:rsidRPr="003A46CA">
        <w:t>Środki w ramach Programu Rozwoju Miast będą przyznawane za pośrednictwem Ministra Funduszy i Polityki Regionalnej.  Minister Funduszy i Polityki Regionalnej jest zobowiązany zapewnić zgodność przyznawanego przez siebie wsparcia, finansowanego z Szwajcarsko</w:t>
      </w:r>
      <w:r w:rsidR="003A46CA">
        <w:t>-</w:t>
      </w:r>
      <w:r w:rsidRPr="003A46CA">
        <w:t>Polskiego Programu Współpracy, z prawem pomocy publicznej. Z uwagi na brak podstawy prawnej w prawie krajowym do udzielania pomocy publicznej w ramach Szwajcarsko-Polskiego Programu Pomocy, niezbędne jest wydanie aktu prawnego regulującego zasady udzielania ww. pomocy.</w:t>
      </w:r>
      <w:r w:rsidR="009778AD" w:rsidRPr="003A46CA">
        <w:t xml:space="preserve"> Przedmiotowym rozporządzeniem nie zostaną objęte umowy realizowane w ramach poprzedniej edycji Szwajcarsko</w:t>
      </w:r>
      <w:r w:rsidR="003A46CA">
        <w:t>-</w:t>
      </w:r>
      <w:r w:rsidR="009778AD" w:rsidRPr="003A46CA">
        <w:t xml:space="preserve">Polskiego Programu Współpracy. </w:t>
      </w:r>
    </w:p>
    <w:p w14:paraId="43EA0F74" w14:textId="68CC50D0" w:rsidR="00702472" w:rsidRPr="003A46CA" w:rsidRDefault="00623233" w:rsidP="003A251D">
      <w:pPr>
        <w:autoSpaceDE w:val="0"/>
        <w:autoSpaceDN w:val="0"/>
        <w:adjustRightInd w:val="0"/>
        <w:spacing w:before="120" w:line="360" w:lineRule="auto"/>
        <w:jc w:val="both"/>
      </w:pPr>
      <w:r w:rsidRPr="003A46CA">
        <w:t xml:space="preserve">Podstawą do wydania rozporządzenia przez Ministra </w:t>
      </w:r>
      <w:r w:rsidR="009E1170" w:rsidRPr="003A46CA">
        <w:t>Funduszy i Polityki Regionalnej</w:t>
      </w:r>
      <w:r w:rsidRPr="003A46CA">
        <w:t xml:space="preserve"> jest</w:t>
      </w:r>
      <w:r w:rsidR="002338FD" w:rsidRPr="003A46CA">
        <w:t xml:space="preserve"> </w:t>
      </w:r>
      <w:r w:rsidR="004B724E" w:rsidRPr="003A46CA">
        <w:t>art</w:t>
      </w:r>
      <w:r w:rsidR="00905ED7" w:rsidRPr="003A46CA">
        <w:t>.</w:t>
      </w:r>
      <w:r w:rsidR="00BD30F1" w:rsidRPr="003A46CA">
        <w:t> </w:t>
      </w:r>
      <w:r w:rsidR="00B14A31" w:rsidRPr="003A46CA">
        <w:t xml:space="preserve">3ab </w:t>
      </w:r>
      <w:r w:rsidR="00905ED7" w:rsidRPr="003A46CA">
        <w:t xml:space="preserve">ust. </w:t>
      </w:r>
      <w:r w:rsidR="00B14A31" w:rsidRPr="003A46CA">
        <w:t>2</w:t>
      </w:r>
      <w:r w:rsidR="00905ED7" w:rsidRPr="003A46CA">
        <w:t xml:space="preserve"> ustawy z dnia 6 grudnia 2006 r. o zasadach prowadzenia polityki rozwoju </w:t>
      </w:r>
      <w:r w:rsidR="001E07E0">
        <w:br/>
      </w:r>
      <w:r w:rsidR="00905ED7" w:rsidRPr="003A46CA">
        <w:t>(Dz. U. z 202</w:t>
      </w:r>
      <w:r w:rsidR="00B14A31" w:rsidRPr="003A46CA">
        <w:t>3</w:t>
      </w:r>
      <w:r w:rsidR="00905ED7" w:rsidRPr="003A46CA">
        <w:t xml:space="preserve"> r. poz. </w:t>
      </w:r>
      <w:r w:rsidR="00B14A31" w:rsidRPr="003A46CA">
        <w:t>1259 i 1273</w:t>
      </w:r>
      <w:r w:rsidR="00905ED7" w:rsidRPr="003A46CA">
        <w:t>)</w:t>
      </w:r>
      <w:r w:rsidR="001E07E0">
        <w:t>, zwanej dalej „uzppr”</w:t>
      </w:r>
      <w:r w:rsidR="00905ED7" w:rsidRPr="003A46CA">
        <w:t xml:space="preserve">. </w:t>
      </w:r>
      <w:r w:rsidR="00702472" w:rsidRPr="003A46CA">
        <w:t>Projekt rozporządzenia określa szczegółowe przeznaczenie, warunki i tryb udzielania pomocy publicznej</w:t>
      </w:r>
      <w:r w:rsidR="00905ED7" w:rsidRPr="003A46CA">
        <w:t xml:space="preserve">, </w:t>
      </w:r>
      <w:r w:rsidR="00702472" w:rsidRPr="003A46CA">
        <w:t xml:space="preserve">pomocy de minimis </w:t>
      </w:r>
      <w:r w:rsidR="00905ED7" w:rsidRPr="003A46CA">
        <w:t xml:space="preserve">oraz pomocy de minimis na usługi świadczone w ogólnym interesie gospodarczym </w:t>
      </w:r>
      <w:r w:rsidR="00702472" w:rsidRPr="003A46CA">
        <w:t>w ramach projektów finansowanych z Szwajcarsko</w:t>
      </w:r>
      <w:r w:rsidR="00BD30F1" w:rsidRPr="003A46CA">
        <w:t>-</w:t>
      </w:r>
      <w:r w:rsidR="00702472" w:rsidRPr="003A46CA">
        <w:t xml:space="preserve">Polskiego Programu Współpracy. </w:t>
      </w:r>
      <w:r w:rsidR="00996DAA" w:rsidRPr="003A46CA">
        <w:t>Szczegółowe przeznaczenie udzielanej przez Ministra Funduszy i Polityki Regionalnej pomocy jest zgodne z celami pomocy udzielanej ze środków Szwajcarsko</w:t>
      </w:r>
      <w:r w:rsidR="003A46CA">
        <w:t>-</w:t>
      </w:r>
      <w:r w:rsidR="00996DAA" w:rsidRPr="003A46CA">
        <w:t xml:space="preserve">Polskiego Programu Pomocy, określonymi w Umowie ramowej i wymienionymi powyżej. </w:t>
      </w:r>
    </w:p>
    <w:p w14:paraId="73128999" w14:textId="28D97CE9" w:rsidR="00FA26B2" w:rsidRPr="003A46CA" w:rsidRDefault="00FA26B2" w:rsidP="00FA26B2">
      <w:pPr>
        <w:autoSpaceDE w:val="0"/>
        <w:autoSpaceDN w:val="0"/>
        <w:adjustRightInd w:val="0"/>
        <w:spacing w:before="120" w:line="360" w:lineRule="auto"/>
        <w:jc w:val="both"/>
      </w:pPr>
      <w:r w:rsidRPr="003A46CA">
        <w:lastRenderedPageBreak/>
        <w:t xml:space="preserve">Projektowane rozporządzenie zostanie przyjęte w oparciu o </w:t>
      </w:r>
      <w:r w:rsidR="00F033BB" w:rsidRPr="003A46CA">
        <w:t>rozporządzenie Komisji (UE) nr 651/2014 z dn</w:t>
      </w:r>
      <w:r w:rsidR="00544391" w:rsidRPr="003A46CA">
        <w:t>ia 17 czerwca 2014 r. uznające</w:t>
      </w:r>
      <w:r w:rsidR="00F033BB" w:rsidRPr="003A46CA">
        <w:t xml:space="preserve"> niektóre rodzaje pomocy za zgodne z rynkiem wewnętrznym</w:t>
      </w:r>
      <w:r w:rsidR="00E03F7C" w:rsidRPr="003A46CA">
        <w:t xml:space="preserve"> </w:t>
      </w:r>
      <w:r w:rsidR="00F033BB" w:rsidRPr="003A46CA">
        <w:t>w zastosowaniu art. 107 i 108 Traktatu</w:t>
      </w:r>
      <w:r w:rsidR="00355C8E" w:rsidRPr="003A46CA">
        <w:t xml:space="preserve"> (Dz. Urz. UE L 187 z 26.06.2014, str. 1, z późn. zm.)</w:t>
      </w:r>
      <w:r w:rsidR="00D64A53" w:rsidRPr="003A46CA">
        <w:t xml:space="preserve">, </w:t>
      </w:r>
      <w:r w:rsidR="00F033BB" w:rsidRPr="003A46CA">
        <w:t>zwane dalej „rozporządzeniem nr 651/2014”</w:t>
      </w:r>
      <w:r w:rsidRPr="003A46CA">
        <w:t>, które</w:t>
      </w:r>
      <w:r w:rsidR="009A70CE" w:rsidRPr="003A46CA">
        <w:t xml:space="preserve"> w przedmiotowym zakresie </w:t>
      </w:r>
      <w:r w:rsidRPr="003A46CA">
        <w:t xml:space="preserve">określa kategorie pomocy oraz warunki, na jakich przyznawana pomoc może </w:t>
      </w:r>
      <w:r w:rsidR="005F032C" w:rsidRPr="003A46CA">
        <w:t>być uznana za zgodną z</w:t>
      </w:r>
      <w:r w:rsidRPr="003A46CA">
        <w:t xml:space="preserve"> rynkiem </w:t>
      </w:r>
      <w:r w:rsidR="005F032C" w:rsidRPr="003A46CA">
        <w:t xml:space="preserve">wewnętrznym </w:t>
      </w:r>
      <w:r w:rsidRPr="003A46CA">
        <w:t>w rozumieniu art. 107 ust. 3 Traktatu o funkcjonowaniu Unii Europejskiej, zwanego dalej „TFUE”, oraz wyłączona z wymogu zgłoszenia, o którym mowa w art. 108 ust. 3 TFUE.</w:t>
      </w:r>
      <w:r w:rsidR="00702472" w:rsidRPr="003A46CA">
        <w:t xml:space="preserve"> Podstawą dla przyjęcia projektowanego rozporządzenia są również przepisy rozporządzenia </w:t>
      </w:r>
      <w:r w:rsidR="00FC3444" w:rsidRPr="003A46CA">
        <w:t>Komisji (UE) nr 2023/2831 z dnia 13 grudnia 2023 r. w sprawie stosowania art. 107 i 108 Traktatu o funkcjonowaniu Unii Europejskiej do pomocy de minimis (Dz. Urz. UE L, 2023/2831 z 15.12.2023)</w:t>
      </w:r>
      <w:r w:rsidR="00702472" w:rsidRPr="003A46CA">
        <w:t xml:space="preserve">, zwanego dalej „rozporządzeniem Komisji (UE) nr </w:t>
      </w:r>
      <w:r w:rsidR="00A57BB8" w:rsidRPr="003A46CA">
        <w:t>2023/2831</w:t>
      </w:r>
      <w:r w:rsidR="00702472" w:rsidRPr="003A46CA">
        <w:t xml:space="preserve">” oraz </w:t>
      </w:r>
      <w:r w:rsidR="007F1B86" w:rsidRPr="003A46CA">
        <w:t>rozporządzeni</w:t>
      </w:r>
      <w:r w:rsidR="00FC3444" w:rsidRPr="003A46CA">
        <w:t>a</w:t>
      </w:r>
      <w:r w:rsidR="007F1B86" w:rsidRPr="003A46CA">
        <w:t xml:space="preserve"> </w:t>
      </w:r>
      <w:r w:rsidR="00FC3444" w:rsidRPr="003A46CA">
        <w:t>Komisji (UE) nr 2023/2832 z dnia 13 grudnia 2023 r. w sprawie stosowania art. 107 i 108 Traktatu o funkcjonowaniu Unii Europejskiej do pomocy de minimis przyznawanej przedsiębiorstwom wykonującym usługi świadczone w ogólnym interesie gospodarczym (Dz. Urz. UE L, 2023/2832 z 15.12.2023)</w:t>
      </w:r>
      <w:r w:rsidR="007F1B86" w:rsidRPr="003A46CA">
        <w:t xml:space="preserve">, zwanym dalej „rozporządzeniem Komisji nr </w:t>
      </w:r>
      <w:r w:rsidR="00A57BB8" w:rsidRPr="003A46CA">
        <w:t>2023/2832</w:t>
      </w:r>
      <w:r w:rsidR="007F1B86" w:rsidRPr="003A46CA">
        <w:t>”.</w:t>
      </w:r>
    </w:p>
    <w:p w14:paraId="2C58B2CE" w14:textId="6A463672" w:rsidR="008971F5" w:rsidRPr="003A46CA" w:rsidRDefault="00D64A53" w:rsidP="0008412B">
      <w:pPr>
        <w:autoSpaceDE w:val="0"/>
        <w:autoSpaceDN w:val="0"/>
        <w:adjustRightInd w:val="0"/>
        <w:spacing w:before="120" w:line="360" w:lineRule="auto"/>
        <w:jc w:val="both"/>
      </w:pPr>
      <w:r w:rsidRPr="003A46CA">
        <w:t xml:space="preserve">W § 1 projektu rozporządzenia określony został </w:t>
      </w:r>
      <w:r w:rsidR="006E5E8C" w:rsidRPr="003A46CA">
        <w:t>cel</w:t>
      </w:r>
      <w:r w:rsidRPr="003A46CA">
        <w:t xml:space="preserve"> projektowanej regulacji</w:t>
      </w:r>
      <w:r w:rsidR="008971F5" w:rsidRPr="003A46CA">
        <w:t>.</w:t>
      </w:r>
    </w:p>
    <w:p w14:paraId="4D03EB44" w14:textId="4D462E1F" w:rsidR="008971F5" w:rsidRPr="003A46CA" w:rsidRDefault="008971F5" w:rsidP="008971F5">
      <w:pPr>
        <w:autoSpaceDE w:val="0"/>
        <w:autoSpaceDN w:val="0"/>
        <w:adjustRightInd w:val="0"/>
        <w:spacing w:before="120" w:line="360" w:lineRule="auto"/>
        <w:jc w:val="both"/>
      </w:pPr>
      <w:r w:rsidRPr="003A46CA">
        <w:t>W § 2 projektu rozporządzenia wskazane zostały tzw. wyłączenia przedmiotowe – sektory i rodzaje działalności gospodarczej, które są wyłączone z zakresu stosowania niniejszego rozporządzenia, wyłączenie dotyczące przedsiębiorców znajdujących się w trudnej sytuacji oraz wyłączenia niektórych środków pomocy, również takie, które odnoszą się wyłącznie do konkretnych przeznaczeń pomocy. Określenia zakresu ww. wyłączeń dokonano poprzez odesłanie do przepisów rozporządzenia nr 651/2014, które w sposób wyczerpujący wskazują te wyłączenia.</w:t>
      </w:r>
      <w:r w:rsidR="0076598E" w:rsidRPr="0076598E">
        <w:t xml:space="preserve"> </w:t>
      </w:r>
      <w:r w:rsidR="0076598E">
        <w:t>W przepisie tym</w:t>
      </w:r>
      <w:r w:rsidR="0076598E" w:rsidRPr="0076598E">
        <w:t xml:space="preserve"> przywołana została </w:t>
      </w:r>
      <w:r w:rsidR="0076598E">
        <w:t xml:space="preserve">również </w:t>
      </w:r>
      <w:r w:rsidR="0076598E" w:rsidRPr="0076598E">
        <w:t xml:space="preserve">podstawa dla pomocy </w:t>
      </w:r>
      <w:r w:rsidR="0076598E">
        <w:t xml:space="preserve">publicznej </w:t>
      </w:r>
      <w:r w:rsidR="0076598E" w:rsidRPr="0076598E">
        <w:t>udzielanej podstawie</w:t>
      </w:r>
      <w:r w:rsidR="0076598E">
        <w:t xml:space="preserve"> niniejszego rozporządzenia</w:t>
      </w:r>
      <w:r w:rsidR="0076598E" w:rsidRPr="0076598E">
        <w:t>, określona przepisami Unii Europejskiej</w:t>
      </w:r>
    </w:p>
    <w:p w14:paraId="6C0EC340" w14:textId="0BA697FF" w:rsidR="006E5E8C" w:rsidRPr="003A46CA" w:rsidRDefault="00905ED7" w:rsidP="00EB4E35">
      <w:pPr>
        <w:autoSpaceDE w:val="0"/>
        <w:autoSpaceDN w:val="0"/>
        <w:adjustRightInd w:val="0"/>
        <w:spacing w:before="120" w:line="360" w:lineRule="auto"/>
        <w:jc w:val="both"/>
      </w:pPr>
      <w:r w:rsidRPr="003A46CA">
        <w:t xml:space="preserve">W § 3 </w:t>
      </w:r>
      <w:r w:rsidR="006E5E8C" w:rsidRPr="003A46CA">
        <w:t>projektu rozporządzenia określony został przedmiotowy zakres regulacji w zakresie pomocy publicznej</w:t>
      </w:r>
      <w:r w:rsidR="0076598E">
        <w:t>.</w:t>
      </w:r>
    </w:p>
    <w:p w14:paraId="192D6680" w14:textId="51E7DFB8" w:rsidR="006E5E8C" w:rsidRPr="003A46CA" w:rsidRDefault="006E5E8C" w:rsidP="00EB4E35">
      <w:pPr>
        <w:autoSpaceDE w:val="0"/>
        <w:autoSpaceDN w:val="0"/>
        <w:adjustRightInd w:val="0"/>
        <w:spacing w:before="120" w:line="360" w:lineRule="auto"/>
        <w:jc w:val="both"/>
      </w:pPr>
      <w:r w:rsidRPr="003A46CA">
        <w:t xml:space="preserve">W § 4 i 5 projektu rozporządzenia przywołana została podstawa </w:t>
      </w:r>
      <w:r w:rsidR="001F455A" w:rsidRPr="003A46CA">
        <w:t xml:space="preserve"> prawna </w:t>
      </w:r>
      <w:r w:rsidRPr="003A46CA">
        <w:t>dla pomocy</w:t>
      </w:r>
      <w:r w:rsidR="001F455A" w:rsidRPr="003A46CA">
        <w:t xml:space="preserve"> de minimis i </w:t>
      </w:r>
      <w:r w:rsidRPr="003A46CA">
        <w:t xml:space="preserve"> </w:t>
      </w:r>
      <w:r w:rsidR="001F455A" w:rsidRPr="003A46CA">
        <w:t xml:space="preserve">pomoc de minimis na usługi świadczone w ogólnym interesie gospodarczym </w:t>
      </w:r>
      <w:r w:rsidRPr="003A46CA">
        <w:t>udzielan</w:t>
      </w:r>
      <w:r w:rsidR="001F455A" w:rsidRPr="003A46CA">
        <w:t>ych</w:t>
      </w:r>
      <w:r w:rsidRPr="003A46CA">
        <w:t xml:space="preserve"> na jego podstawie, określon</w:t>
      </w:r>
      <w:r w:rsidR="001F455A" w:rsidRPr="003A46CA">
        <w:t>e</w:t>
      </w:r>
      <w:r w:rsidRPr="003A46CA">
        <w:t xml:space="preserve"> przepisami Unii Europejskiej.</w:t>
      </w:r>
    </w:p>
    <w:p w14:paraId="3A0A2BB6" w14:textId="55C7CFE6" w:rsidR="00905ED7" w:rsidRPr="003A46CA" w:rsidRDefault="001F455A" w:rsidP="00EB4E35">
      <w:pPr>
        <w:autoSpaceDE w:val="0"/>
        <w:autoSpaceDN w:val="0"/>
        <w:adjustRightInd w:val="0"/>
        <w:spacing w:before="120" w:line="360" w:lineRule="auto"/>
        <w:jc w:val="both"/>
      </w:pPr>
      <w:r w:rsidRPr="003A46CA">
        <w:t xml:space="preserve">W § 6 </w:t>
      </w:r>
      <w:r w:rsidR="00905ED7" w:rsidRPr="003A46CA">
        <w:t xml:space="preserve">projektu rozporządzenia </w:t>
      </w:r>
      <w:r w:rsidR="006650EB">
        <w:t>wskazano</w:t>
      </w:r>
      <w:r w:rsidR="00C77838" w:rsidRPr="003A46CA">
        <w:t xml:space="preserve"> </w:t>
      </w:r>
      <w:r w:rsidR="00905ED7" w:rsidRPr="003A46CA">
        <w:t>podmiot udzielając</w:t>
      </w:r>
      <w:r w:rsidR="00C77838" w:rsidRPr="003A46CA">
        <w:t>y</w:t>
      </w:r>
      <w:r w:rsidR="00905ED7" w:rsidRPr="003A46CA">
        <w:t xml:space="preserve"> pomocy</w:t>
      </w:r>
      <w:r w:rsidR="00C77838" w:rsidRPr="003A46CA">
        <w:t xml:space="preserve">, którym jest minister </w:t>
      </w:r>
      <w:r w:rsidR="00242882">
        <w:t>właściwy do spraw</w:t>
      </w:r>
      <w:r w:rsidR="00C77838" w:rsidRPr="003A46CA">
        <w:t xml:space="preserve"> rozwoju regionalnego</w:t>
      </w:r>
      <w:r w:rsidR="001E07E0">
        <w:t xml:space="preserve"> – zgodnie z uzppr</w:t>
      </w:r>
      <w:r w:rsidR="00905ED7" w:rsidRPr="003A46CA">
        <w:t>.</w:t>
      </w:r>
    </w:p>
    <w:p w14:paraId="1BE83EA1" w14:textId="51099CB9" w:rsidR="00912507" w:rsidRPr="003A46CA" w:rsidRDefault="00623233" w:rsidP="00C212A4">
      <w:pPr>
        <w:autoSpaceDE w:val="0"/>
        <w:autoSpaceDN w:val="0"/>
        <w:adjustRightInd w:val="0"/>
        <w:spacing w:before="120" w:line="360" w:lineRule="auto"/>
        <w:jc w:val="both"/>
      </w:pPr>
      <w:r w:rsidRPr="003A46CA">
        <w:lastRenderedPageBreak/>
        <w:t xml:space="preserve">W § </w:t>
      </w:r>
      <w:r w:rsidR="001F455A" w:rsidRPr="003A46CA">
        <w:t>7</w:t>
      </w:r>
      <w:r w:rsidRPr="003A46CA">
        <w:t xml:space="preserve"> </w:t>
      </w:r>
      <w:r w:rsidR="00912507" w:rsidRPr="003A46CA">
        <w:t>projektu rozporządzenia, zdefiniowane zostały podstawowe pojęcia, którymi posługuje się projekt</w:t>
      </w:r>
      <w:r w:rsidR="00544391" w:rsidRPr="003A46CA">
        <w:t>owane rozporządzenie</w:t>
      </w:r>
      <w:r w:rsidR="00912507" w:rsidRPr="003A46CA">
        <w:t>. W powyższym zakresie projekt rozporządzenia odwołuje się do właściwych przepisów</w:t>
      </w:r>
      <w:r w:rsidR="00544391" w:rsidRPr="003A46CA">
        <w:t xml:space="preserve"> rozporządzenia nr 651/2014</w:t>
      </w:r>
      <w:r w:rsidR="001E07E0">
        <w:t>,</w:t>
      </w:r>
      <w:r w:rsidR="006F30BF" w:rsidRPr="003A46CA">
        <w:t xml:space="preserve"> rozporządzenia nr </w:t>
      </w:r>
      <w:r w:rsidR="00A57BB8" w:rsidRPr="003A46CA">
        <w:t>2023/2831</w:t>
      </w:r>
      <w:r w:rsidR="006F30BF" w:rsidRPr="003A46CA">
        <w:t xml:space="preserve"> </w:t>
      </w:r>
      <w:r w:rsidR="00242882">
        <w:br/>
      </w:r>
      <w:r w:rsidR="001E07E0">
        <w:t>oraz</w:t>
      </w:r>
      <w:r w:rsidR="006F30BF" w:rsidRPr="003A46CA">
        <w:t xml:space="preserve"> Traktatu o funkcjonowaniu Unii Europejskiej</w:t>
      </w:r>
      <w:r w:rsidR="003F7D38" w:rsidRPr="003A46CA">
        <w:t>.</w:t>
      </w:r>
    </w:p>
    <w:p w14:paraId="10D565F0" w14:textId="4832CC8E" w:rsidR="00CB533C" w:rsidRPr="003A46CA" w:rsidRDefault="00CB533C" w:rsidP="00CB533C">
      <w:pPr>
        <w:autoSpaceDE w:val="0"/>
        <w:autoSpaceDN w:val="0"/>
        <w:adjustRightInd w:val="0"/>
        <w:spacing w:before="120" w:line="360" w:lineRule="auto"/>
        <w:jc w:val="both"/>
      </w:pPr>
      <w:r w:rsidRPr="003A46CA">
        <w:t xml:space="preserve">§ 8 projektu rozporządzenia wskazuje, iż pomoc udzielana na podstawie rozporządzenia podlega kumulacji z inną pomocą na zasadach określonych w art. 8 rozporządzenia nr 651/2014, w art. 5 rozporządzenia nr </w:t>
      </w:r>
      <w:r w:rsidR="00A57BB8" w:rsidRPr="003A46CA">
        <w:t>2023/2831</w:t>
      </w:r>
      <w:r w:rsidRPr="003A46CA">
        <w:t xml:space="preserve"> oraz w art. 2 ust. 6 rozporządzenia </w:t>
      </w:r>
      <w:r w:rsidR="00242882">
        <w:br/>
      </w:r>
      <w:r w:rsidRPr="003A46CA">
        <w:t xml:space="preserve">nr </w:t>
      </w:r>
      <w:r w:rsidR="00A57BB8" w:rsidRPr="003A46CA">
        <w:t>2023/2832</w:t>
      </w:r>
      <w:r w:rsidRPr="003A46CA">
        <w:t>.</w:t>
      </w:r>
    </w:p>
    <w:p w14:paraId="6B1608BC" w14:textId="77777777" w:rsidR="00CB533C" w:rsidRPr="003A46CA" w:rsidRDefault="00CB533C" w:rsidP="00CB533C">
      <w:pPr>
        <w:autoSpaceDE w:val="0"/>
        <w:autoSpaceDN w:val="0"/>
        <w:adjustRightInd w:val="0"/>
        <w:spacing w:before="120" w:line="360" w:lineRule="auto"/>
        <w:jc w:val="both"/>
      </w:pPr>
      <w:r w:rsidRPr="003A46CA">
        <w:t xml:space="preserve">W § 9 projektu rozporządzenia wskazano, że pomoc jest udzielana w formie dotacji. </w:t>
      </w:r>
    </w:p>
    <w:p w14:paraId="75002CFE" w14:textId="381148B2" w:rsidR="00CB533C" w:rsidRPr="003A46CA" w:rsidRDefault="006C5B00" w:rsidP="00C212A4">
      <w:pPr>
        <w:autoSpaceDE w:val="0"/>
        <w:autoSpaceDN w:val="0"/>
        <w:adjustRightInd w:val="0"/>
        <w:spacing w:before="120" w:line="360" w:lineRule="auto"/>
        <w:jc w:val="both"/>
      </w:pPr>
      <w:r w:rsidRPr="003A46CA">
        <w:t>W § 10</w:t>
      </w:r>
      <w:r w:rsidR="00A22D0E" w:rsidRPr="003A46CA">
        <w:t xml:space="preserve"> określono tryb udzielania pomocy. W ust. </w:t>
      </w:r>
      <w:r w:rsidR="00585FCA">
        <w:t>1</w:t>
      </w:r>
      <w:r w:rsidR="00A22D0E" w:rsidRPr="003A46CA">
        <w:t xml:space="preserve"> </w:t>
      </w:r>
      <w:r w:rsidRPr="003A46CA">
        <w:t xml:space="preserve">wskazano, że przedsiębiorca składa wniosek o udzielenie pomocy do podmiotu udzielającego pomocy. W ust. </w:t>
      </w:r>
      <w:r w:rsidR="00585FCA">
        <w:t>2</w:t>
      </w:r>
      <w:r w:rsidRPr="003A46CA">
        <w:t xml:space="preserve"> wskazano elementy uwzględniane przy ocenie dokonywanej przez podmiot udzielający pomocy. Natomiast w ust. </w:t>
      </w:r>
      <w:r w:rsidR="00585FCA">
        <w:t>3</w:t>
      </w:r>
      <w:r w:rsidRPr="003A46CA">
        <w:t xml:space="preserve"> uregulowano kwestię związaną z ostatnim elementem w ramach trybu udzielania pomocy – podpisaniem umowy.</w:t>
      </w:r>
    </w:p>
    <w:p w14:paraId="37B766B4" w14:textId="5FDE4D4F" w:rsidR="00C212A4" w:rsidRPr="003A46CA" w:rsidRDefault="00C212A4" w:rsidP="00C212A4">
      <w:pPr>
        <w:autoSpaceDE w:val="0"/>
        <w:autoSpaceDN w:val="0"/>
        <w:adjustRightInd w:val="0"/>
        <w:spacing w:before="120" w:line="360" w:lineRule="auto"/>
        <w:jc w:val="both"/>
      </w:pPr>
      <w:r w:rsidRPr="003A46CA">
        <w:t xml:space="preserve">§ </w:t>
      </w:r>
      <w:r w:rsidR="00CB533C" w:rsidRPr="003A46CA">
        <w:t>11</w:t>
      </w:r>
      <w:r w:rsidRPr="003A46CA">
        <w:t xml:space="preserve"> </w:t>
      </w:r>
      <w:r w:rsidR="00544391" w:rsidRPr="003A46CA">
        <w:t xml:space="preserve">projektu rozporządzenia </w:t>
      </w:r>
      <w:r w:rsidR="003F7D38" w:rsidRPr="003A46CA">
        <w:t xml:space="preserve">określa wyłączenie podmiotowe obejmujące podmioty, </w:t>
      </w:r>
      <w:r w:rsidR="00242882">
        <w:br/>
      </w:r>
      <w:r w:rsidR="00912507" w:rsidRPr="003A46CA">
        <w:t>na których ciąży obowiązek zwrotu pomocy publicznej, wynikający z wcześniejszej decyzji Komisji Europejskiej, uznającej taką pomoc za niezgodną z pr</w:t>
      </w:r>
      <w:r w:rsidR="003F7D38" w:rsidRPr="003A46CA">
        <w:t>awem oraz z rynkiem wewnętrznym. Warunek ten stanowi realizację normy określonej w</w:t>
      </w:r>
      <w:r w:rsidR="00912507" w:rsidRPr="003A46CA">
        <w:t xml:space="preserve"> art. 1 ust. 4 lit. a rozporządzenia nr 651/2014.</w:t>
      </w:r>
    </w:p>
    <w:p w14:paraId="1FFEC0DC" w14:textId="00E103B3" w:rsidR="00001D52" w:rsidRDefault="00001D52" w:rsidP="00B666FA">
      <w:pPr>
        <w:autoSpaceDE w:val="0"/>
        <w:autoSpaceDN w:val="0"/>
        <w:adjustRightInd w:val="0"/>
        <w:spacing w:before="120" w:line="360" w:lineRule="auto"/>
        <w:jc w:val="both"/>
      </w:pPr>
      <w:r w:rsidRPr="00001D52">
        <w:t xml:space="preserve">W § 12 projektu rozporządzenia uregulowano kwestie związane z efektem zachęty. Zgodnie z treścią przepisu, warunkiem udzielenia pomocy przedsiębiorcy jest </w:t>
      </w:r>
      <w:r>
        <w:t xml:space="preserve">by wywoływała ona efekt zachęty, w rozumieniu art. </w:t>
      </w:r>
      <w:r w:rsidRPr="00001D52">
        <w:t>z art. 6 ust. 2 zdanie pierwsze rozporządzenia nr 651/2014</w:t>
      </w:r>
      <w:r>
        <w:t xml:space="preserve"> tj. by </w:t>
      </w:r>
      <w:r w:rsidRPr="00001D52">
        <w:t>wnios</w:t>
      </w:r>
      <w:r>
        <w:t>ek</w:t>
      </w:r>
      <w:r w:rsidRPr="00001D52">
        <w:t xml:space="preserve"> o udzielenie pomocy</w:t>
      </w:r>
      <w:r>
        <w:t xml:space="preserve"> został złożony </w:t>
      </w:r>
      <w:r w:rsidRPr="00001D52">
        <w:t xml:space="preserve">przed rozpoczęciem prac nad projektem lub rozpoczęciem działalności. </w:t>
      </w:r>
      <w:r w:rsidR="007220B5">
        <w:t xml:space="preserve">Rozpoczęcie prac zostało zdefiniowane </w:t>
      </w:r>
      <w:r w:rsidRPr="00001D52">
        <w:t>w art. 2 pkt 23 rozporządzenia nr 651/2014.</w:t>
      </w:r>
      <w:r w:rsidR="007220B5">
        <w:t xml:space="preserve"> Obowiązek wywoływania efektu zachęty, jak wynika z art. 6 ust. 5 lit. h rozporządzenia </w:t>
      </w:r>
      <w:r w:rsidR="007220B5" w:rsidRPr="007220B5">
        <w:t>nr 651/2014</w:t>
      </w:r>
      <w:r w:rsidR="007220B5">
        <w:t>, nie dotyczy pomocy na kulturę i zachowanie dziedzictwa kulturowego, dlatego ta kategoria pomocy została wyłączona z zakresu przedmiotowego przepisu rozporządzenia.</w:t>
      </w:r>
    </w:p>
    <w:p w14:paraId="40060B49" w14:textId="78CE4B55" w:rsidR="00E64DE6" w:rsidRPr="003A46CA" w:rsidRDefault="00B666FA" w:rsidP="00B666FA">
      <w:pPr>
        <w:autoSpaceDE w:val="0"/>
        <w:autoSpaceDN w:val="0"/>
        <w:adjustRightInd w:val="0"/>
        <w:spacing w:before="120" w:line="360" w:lineRule="auto"/>
        <w:jc w:val="both"/>
      </w:pPr>
      <w:r w:rsidRPr="003A46CA">
        <w:t xml:space="preserve">W § </w:t>
      </w:r>
      <w:r w:rsidR="006C5B00" w:rsidRPr="003A46CA">
        <w:t>1</w:t>
      </w:r>
      <w:r w:rsidR="00585FCA">
        <w:t>3</w:t>
      </w:r>
      <w:r w:rsidR="00E03F7C" w:rsidRPr="003A46CA">
        <w:t xml:space="preserve"> </w:t>
      </w:r>
      <w:r w:rsidRPr="003A46CA">
        <w:t xml:space="preserve">projektu rozporządzenia określono, iż do obliczania wartości pomocy publicznej </w:t>
      </w:r>
      <w:r w:rsidR="00242882">
        <w:br/>
      </w:r>
      <w:r w:rsidRPr="003A46CA">
        <w:t>i kosztów kwalifikowalnych stosuje się zasady z art. 7 ust. 1</w:t>
      </w:r>
      <w:r w:rsidR="00BF0B6D">
        <w:t xml:space="preserve"> i </w:t>
      </w:r>
      <w:r w:rsidRPr="003A46CA">
        <w:t xml:space="preserve">3 rozporządzenia nr 651/2014. Wskazany przepis zakłada konieczność stosowania do obliczania wartości pomocy i kosztów kwalifikowalnych kwot przed potrąceniem podatku lub innych opłat. </w:t>
      </w:r>
      <w:r w:rsidR="00905ED7" w:rsidRPr="003A46CA">
        <w:t>K</w:t>
      </w:r>
      <w:r w:rsidRPr="003A46CA">
        <w:t xml:space="preserve">oszty kwalifikowalne </w:t>
      </w:r>
      <w:r w:rsidRPr="003A46CA">
        <w:lastRenderedPageBreak/>
        <w:t>powinny być udokumentowane w sposób jasny, szczegółowy i aktualny. Dodatkowo, odesłanie do art. 7 ust. 3 rozporządzenia nr 651/2014 wskazuje na konieczność dyskontowania kwoty pomocy oraz wartości kosztów kwalifikowalnych w sytuacji, gdy pomoc jest wypłacana w ratach.</w:t>
      </w:r>
    </w:p>
    <w:p w14:paraId="20167558" w14:textId="0888C5F5" w:rsidR="006C5B00" w:rsidRPr="003A46CA" w:rsidRDefault="006C5B00" w:rsidP="00456DAC">
      <w:pPr>
        <w:autoSpaceDE w:val="0"/>
        <w:autoSpaceDN w:val="0"/>
        <w:adjustRightInd w:val="0"/>
        <w:spacing w:before="120" w:line="360" w:lineRule="auto"/>
        <w:jc w:val="both"/>
      </w:pPr>
      <w:r w:rsidRPr="003A46CA">
        <w:t>W § 1</w:t>
      </w:r>
      <w:r w:rsidR="00585FCA">
        <w:t>4</w:t>
      </w:r>
      <w:r w:rsidRPr="003A46CA">
        <w:t xml:space="preserve"> ust. 1 określono katalog informacji, jakie powinien zawierać wniosek, poprzez odwołanie do listy elementów, wskazanych w art. 6 ust. 2 zdanie drugie rozporządzenia </w:t>
      </w:r>
      <w:r w:rsidR="00242882">
        <w:br/>
      </w:r>
      <w:r w:rsidRPr="003A46CA">
        <w:t xml:space="preserve">nr 651/2014. W pkt 2 wskazano, że wniosek może zawierać również inne informacje wskazane przez podmiot udzielający pomocy, niezbędne do dokonania oceny wniosku. W ust. 2 wskazano, że do wniosku przedsiębiorca </w:t>
      </w:r>
      <w:r w:rsidRPr="0076598E">
        <w:t xml:space="preserve">załącza </w:t>
      </w:r>
      <w:r w:rsidR="0076598E" w:rsidRPr="0076598E">
        <w:t xml:space="preserve">dokumenty przygotowane zgodnie </w:t>
      </w:r>
      <w:r w:rsidR="00AA18C7">
        <w:br/>
      </w:r>
      <w:r w:rsidR="0076598E" w:rsidRPr="0076598E">
        <w:t>z przepisami wydanymi na podstawie art. 37 ust. 6</w:t>
      </w:r>
      <w:r w:rsidRPr="003A46CA">
        <w:t xml:space="preserve"> ustawy z dnia 30 kwietnia 2004 r. </w:t>
      </w:r>
      <w:r w:rsidR="00AA18C7">
        <w:br/>
      </w:r>
      <w:r w:rsidRPr="003A46CA">
        <w:t xml:space="preserve">o postępowaniu w sprawach dotyczących pomocy publicznej </w:t>
      </w:r>
      <w:r w:rsidR="00AA18C7">
        <w:t>(</w:t>
      </w:r>
      <w:r w:rsidRPr="003A46CA">
        <w:t xml:space="preserve">Dz. U. z 2023 r. poz. 702), </w:t>
      </w:r>
      <w:r w:rsidR="00AA18C7">
        <w:br/>
      </w:r>
      <w:r w:rsidRPr="003A46CA">
        <w:t>które są niezbędne m.in. do weryfikacji spełnienia warunków dotyczących kumulacji pomocy.</w:t>
      </w:r>
    </w:p>
    <w:p w14:paraId="47FEF8E8" w14:textId="776F6662" w:rsidR="00260732" w:rsidRPr="003A46CA" w:rsidRDefault="009674ED" w:rsidP="00260732">
      <w:pPr>
        <w:autoSpaceDE w:val="0"/>
        <w:autoSpaceDN w:val="0"/>
        <w:adjustRightInd w:val="0"/>
        <w:spacing w:before="120" w:line="360" w:lineRule="auto"/>
        <w:jc w:val="both"/>
      </w:pPr>
      <w:r w:rsidRPr="003A46CA">
        <w:t>W § 1</w:t>
      </w:r>
      <w:r w:rsidR="00585FCA">
        <w:t>5</w:t>
      </w:r>
      <w:r w:rsidRPr="003A46CA">
        <w:t xml:space="preserve"> rozporządzenia uregulowano zasady przyznawania pomocy inwestycyjnej na infrastrukturę lokalną. Pomoc publiczna na ten cel, jak wynika z ust. 1 udzielana będzie zgodnie z przepisami art. 56 rozporządzenia nr 651/2014. </w:t>
      </w:r>
    </w:p>
    <w:p w14:paraId="0AAE7FB0" w14:textId="07B7BC4F" w:rsidR="00260732" w:rsidRPr="003A46CA" w:rsidRDefault="00260732" w:rsidP="00260732">
      <w:pPr>
        <w:autoSpaceDE w:val="0"/>
        <w:autoSpaceDN w:val="0"/>
        <w:adjustRightInd w:val="0"/>
        <w:spacing w:before="120" w:line="360" w:lineRule="auto"/>
        <w:jc w:val="both"/>
      </w:pPr>
      <w:r w:rsidRPr="003A46CA">
        <w:t>W § 1</w:t>
      </w:r>
      <w:r w:rsidR="00585FCA">
        <w:t>5</w:t>
      </w:r>
      <w:r w:rsidRPr="003A46CA">
        <w:t xml:space="preserve"> ust. 2 wskazano na konieczność stosowania przepisów art. 56 ust. 3 i 4 rozporządzenia nr 651/2014 dotyczących zasad udostępniania infrastruktury oraz udzielania koncesji </w:t>
      </w:r>
      <w:r w:rsidR="00242882">
        <w:br/>
      </w:r>
      <w:r w:rsidRPr="003A46CA">
        <w:t xml:space="preserve">i powierzania. W </w:t>
      </w:r>
      <w:r w:rsidR="00591A9B" w:rsidRPr="00591A9B">
        <w:t>art. 56</w:t>
      </w:r>
      <w:r w:rsidR="00591A9B">
        <w:t xml:space="preserve"> </w:t>
      </w:r>
      <w:r w:rsidRPr="003A46CA">
        <w:t xml:space="preserve">ust. 3 rozporządzenia nr 651/2014 wskazano, iż infrastruktura jest udostępniania zainteresowanym użytkownikom w oparciu o otwarte przejrzyste </w:t>
      </w:r>
      <w:r w:rsidR="00242882">
        <w:br/>
      </w:r>
      <w:r w:rsidRPr="003A46CA">
        <w:t>i niedyskryminacyjne zasady, a cena pobierana za użytkowanie lub sprzedaż infrastruktury odpowiada cenie rynkowej. Art. 56 ust. 4 rozporządzenia nr 651/2014 reguluje wydawanie koncesji i inne formy powierzenia. Jeśli osoby trzecie mają otrzymać daną infrastrukturę lokalną wspartą w ramach rozporządzenia na mocy koncesji bądź innej formy porozumienia, to są one udzielane na otwartych, przejrzystych i niedyskryminacyjnych zasadach, z należytym poszanowaniem obowiązujących zasad udzielania zamówień.</w:t>
      </w:r>
    </w:p>
    <w:p w14:paraId="11E0CAD0" w14:textId="2EBFDC2C" w:rsidR="00A9276D" w:rsidRPr="003A46CA" w:rsidRDefault="00A9276D" w:rsidP="00456DAC">
      <w:pPr>
        <w:autoSpaceDE w:val="0"/>
        <w:autoSpaceDN w:val="0"/>
        <w:adjustRightInd w:val="0"/>
        <w:spacing w:before="120" w:line="360" w:lineRule="auto"/>
        <w:jc w:val="both"/>
      </w:pPr>
      <w:r w:rsidRPr="003A46CA">
        <w:t>§ 1</w:t>
      </w:r>
      <w:r w:rsidR="00585FCA">
        <w:t>5</w:t>
      </w:r>
      <w:r w:rsidRPr="003A46CA">
        <w:t xml:space="preserve"> ust. </w:t>
      </w:r>
      <w:r w:rsidR="00FC52C9" w:rsidRPr="003A46CA">
        <w:t>3</w:t>
      </w:r>
      <w:r w:rsidRPr="003A46CA">
        <w:t xml:space="preserve"> </w:t>
      </w:r>
      <w:r w:rsidR="008B1C67">
        <w:t xml:space="preserve">projektowanego rozporządzenia </w:t>
      </w:r>
      <w:r w:rsidRPr="003A46CA">
        <w:t>wskazuje, co projektodawca uważa za koszty kwalifikowalne, które będą mogły zostać objęte pomocą. Kosztami kwalifikowalnymi w ramach projektowanego programu są koszty, które spełniają warunki wskazane w art. 56 ust. 5 rozporządzenia nr 651/2014.</w:t>
      </w:r>
    </w:p>
    <w:p w14:paraId="43D2DB2D" w14:textId="116E43AD" w:rsidR="00A9276D" w:rsidRPr="003A46CA" w:rsidRDefault="00A9276D" w:rsidP="00456DAC">
      <w:pPr>
        <w:autoSpaceDE w:val="0"/>
        <w:autoSpaceDN w:val="0"/>
        <w:adjustRightInd w:val="0"/>
        <w:spacing w:before="120" w:line="360" w:lineRule="auto"/>
        <w:jc w:val="both"/>
      </w:pPr>
      <w:r w:rsidRPr="003A46CA">
        <w:t>§ 1</w:t>
      </w:r>
      <w:r w:rsidR="00585FCA">
        <w:t>5</w:t>
      </w:r>
      <w:r w:rsidRPr="003A46CA">
        <w:t xml:space="preserve"> ust. </w:t>
      </w:r>
      <w:r w:rsidR="00FC52C9" w:rsidRPr="003A46CA">
        <w:t>4</w:t>
      </w:r>
      <w:r w:rsidRPr="003A46CA">
        <w:t xml:space="preserve"> określa zasady wyliczania wartości pomocy udzielanej na podstawie rozporządzenia. Wartość dopuszczalnej pomocy ustala się zgodnie z art. 56 ust. 6 rozporządzenia nr 651/2014. Oznacza to, że wartość pomocy jest obliczana jako różnica między kosztami kwalifikowalnymi </w:t>
      </w:r>
      <w:r w:rsidRPr="003A46CA">
        <w:lastRenderedPageBreak/>
        <w:t>a zyskiem, jaki przyniesie inwestycja. Planowany zysk oblicza się ex-ante, przy uwzględnieniu rozsądnych prognoz, albo zwraca się go ex-post z wykorzystaniem mechanizmu wycofania.</w:t>
      </w:r>
    </w:p>
    <w:p w14:paraId="7635D6CA" w14:textId="4E270675" w:rsidR="00FC52C9" w:rsidRPr="003A46CA" w:rsidRDefault="00FC52C9" w:rsidP="00456DAC">
      <w:pPr>
        <w:autoSpaceDE w:val="0"/>
        <w:autoSpaceDN w:val="0"/>
        <w:adjustRightInd w:val="0"/>
        <w:spacing w:before="120" w:line="360" w:lineRule="auto"/>
        <w:jc w:val="both"/>
      </w:pPr>
      <w:r w:rsidRPr="003A46CA">
        <w:t>W § 1</w:t>
      </w:r>
      <w:r w:rsidR="00585FCA">
        <w:t>6</w:t>
      </w:r>
      <w:r w:rsidRPr="003A46CA">
        <w:t xml:space="preserve"> określono wyłączenia z zakresu stosowania niniejszego rozporządzenia dotyczące tego konkretnego przeznaczenia pomocy.</w:t>
      </w:r>
    </w:p>
    <w:p w14:paraId="23C17CF7" w14:textId="4A2FA2B3" w:rsidR="00A9276D" w:rsidRPr="003A46CA" w:rsidRDefault="0071697D" w:rsidP="00456DAC">
      <w:pPr>
        <w:autoSpaceDE w:val="0"/>
        <w:autoSpaceDN w:val="0"/>
        <w:adjustRightInd w:val="0"/>
        <w:spacing w:before="120" w:line="360" w:lineRule="auto"/>
        <w:jc w:val="both"/>
      </w:pPr>
      <w:r w:rsidRPr="003A46CA">
        <w:t xml:space="preserve">W rozdziale </w:t>
      </w:r>
      <w:r w:rsidR="00260732" w:rsidRPr="003A46CA">
        <w:t>4</w:t>
      </w:r>
      <w:r w:rsidRPr="003A46CA">
        <w:t xml:space="preserve"> projektu rozporządzenia uregulowano zasady przyznawania pomocy inwestycyjnej na </w:t>
      </w:r>
      <w:r w:rsidR="00CC0B43" w:rsidRPr="003A46CA">
        <w:t xml:space="preserve">system ciepłowniczy i chłodniczy, który jest lub stanie się </w:t>
      </w:r>
      <w:r w:rsidRPr="003A46CA">
        <w:t>efektywny energetycznie. Pojęcie efektywnego energetycznie systemu ciepłowniczego i chłodniczego zostało zdefiniowane poprzez odesłanie do odpowiednich przepisów rozporządzenia nr 651/2014 (§ 1</w:t>
      </w:r>
      <w:r w:rsidR="00585FCA">
        <w:t>7</w:t>
      </w:r>
      <w:r w:rsidRPr="003A46CA">
        <w:t xml:space="preserve"> ust. 1 projektu rozporządzenia)</w:t>
      </w:r>
      <w:r w:rsidR="00A04328" w:rsidRPr="003A46CA">
        <w:t>.</w:t>
      </w:r>
    </w:p>
    <w:p w14:paraId="3A3CF559" w14:textId="208191F5" w:rsidR="00260732" w:rsidRPr="003A46CA" w:rsidRDefault="00260732" w:rsidP="00260732">
      <w:pPr>
        <w:autoSpaceDE w:val="0"/>
        <w:autoSpaceDN w:val="0"/>
        <w:adjustRightInd w:val="0"/>
        <w:spacing w:before="120" w:line="360" w:lineRule="auto"/>
        <w:jc w:val="both"/>
      </w:pPr>
      <w:r w:rsidRPr="003A46CA">
        <w:t>§ 1</w:t>
      </w:r>
      <w:r w:rsidR="00585FCA">
        <w:t>7</w:t>
      </w:r>
      <w:r w:rsidRPr="003A46CA">
        <w:t xml:space="preserve"> u</w:t>
      </w:r>
      <w:r w:rsidR="00D636F4" w:rsidRPr="003A46CA">
        <w:t xml:space="preserve">st. </w:t>
      </w:r>
      <w:r w:rsidRPr="003A46CA">
        <w:t>2</w:t>
      </w:r>
      <w:r w:rsidR="00D636F4" w:rsidRPr="003A46CA">
        <w:t xml:space="preserve"> </w:t>
      </w:r>
      <w:r w:rsidR="00585FCA">
        <w:t xml:space="preserve">i 3 </w:t>
      </w:r>
      <w:r w:rsidR="00D636F4" w:rsidRPr="003A46CA">
        <w:t xml:space="preserve">poprzez odwołanie się do przepisów rozporządzenia nr 651/2014 określa warunki dopuszczalności pomocy inwestycyjnej na efektywny energetycznie system ciepłowniczy i chłodniczy dotyczące m.in.: warunków udzielania pomocy w sytuacji, w której system ciepłowniczy lub chłodniczy nie osiągnął pełnej efektywności energetycznej w wyniku wspieranych prac na sieci dystrybucyjnej (art. 46 ust. 2 rozporządzenia 651/2014), warunków udzielania pomocy na wytwarzanie energii w oparciu o odnawialne źródła energii, w tym </w:t>
      </w:r>
      <w:r w:rsidR="00242882">
        <w:br/>
      </w:r>
      <w:r w:rsidR="00D636F4" w:rsidRPr="003A46CA">
        <w:t>z odpadów (art. 46 ust. 3 rozporządzenia 651/2014), warunków udzielania pomocy na budowę lub modernizację instalacji wytwórczych opartych na gazie ziemnym (art. 46 ust. 4 zdanie drugie rozporządzenia 651/2014) oraz warunków udzielania pomocy na modernizację sieci magazynowania i dystrybucji w oparciu o paliwa kopalne (art. 46 ust. 5 rozporządzenia 651/2014).</w:t>
      </w:r>
      <w:r w:rsidRPr="003A46CA">
        <w:t xml:space="preserve"> </w:t>
      </w:r>
    </w:p>
    <w:p w14:paraId="128B890D" w14:textId="32708EFF" w:rsidR="00260732" w:rsidRPr="003A46CA" w:rsidRDefault="00260732" w:rsidP="00260732">
      <w:pPr>
        <w:autoSpaceDE w:val="0"/>
        <w:autoSpaceDN w:val="0"/>
        <w:adjustRightInd w:val="0"/>
        <w:spacing w:before="120" w:line="360" w:lineRule="auto"/>
        <w:jc w:val="both"/>
      </w:pPr>
      <w:r w:rsidRPr="003A46CA">
        <w:t>§ 1</w:t>
      </w:r>
      <w:r w:rsidR="00585FCA">
        <w:t>7</w:t>
      </w:r>
      <w:r w:rsidRPr="003A46CA">
        <w:t xml:space="preserve"> ust. </w:t>
      </w:r>
      <w:r w:rsidR="00585FCA">
        <w:t>4</w:t>
      </w:r>
      <w:r w:rsidRPr="003A46CA">
        <w:t xml:space="preserve"> projektu rozporządzenia reguluje kwestie związane z kwalifikowalnością kosztów. W przypadku pomocy inwestycyjnej na efektywny energetycznie system ciepłowniczy lub chłodniczy koszami kwalifikowalnymi są koszty inwestycji związane </w:t>
      </w:r>
      <w:r w:rsidR="00242882">
        <w:br/>
      </w:r>
      <w:r w:rsidRPr="003A46CA">
        <w:t xml:space="preserve">z budową lub modernizacją efektywnego energetycznie sytemu ciepłowniczego </w:t>
      </w:r>
      <w:r w:rsidR="00242882">
        <w:br/>
      </w:r>
      <w:r w:rsidRPr="003A46CA">
        <w:t xml:space="preserve">lub chłodniczego. </w:t>
      </w:r>
    </w:p>
    <w:p w14:paraId="017531A4" w14:textId="3762AAC9" w:rsidR="00310AA3" w:rsidRPr="003A46CA" w:rsidRDefault="00844283" w:rsidP="00310AA3">
      <w:pPr>
        <w:autoSpaceDE w:val="0"/>
        <w:autoSpaceDN w:val="0"/>
        <w:adjustRightInd w:val="0"/>
        <w:spacing w:before="120" w:line="360" w:lineRule="auto"/>
        <w:jc w:val="both"/>
      </w:pPr>
      <w:r w:rsidRPr="003A46CA">
        <w:t xml:space="preserve">W § </w:t>
      </w:r>
      <w:r w:rsidR="0071697D" w:rsidRPr="003A46CA">
        <w:t>1</w:t>
      </w:r>
      <w:r w:rsidR="00585FCA">
        <w:t>8</w:t>
      </w:r>
      <w:r w:rsidR="00310AA3" w:rsidRPr="003A46CA">
        <w:t xml:space="preserve"> projektu rozporządzenia określono dopuszczalne progi intensywności pomocy </w:t>
      </w:r>
      <w:r w:rsidR="00242882">
        <w:br/>
      </w:r>
      <w:r w:rsidR="00310AA3" w:rsidRPr="003A46CA">
        <w:t>w przypadku pomocy na efektywny energetycznie system ciepłowniczy i chłodniczy. Zgodnie z ust. 1 pkt 1 może ona wynieść maksymalnie 30% kosztów kwalifikowalnych (art. 46 ust. 7 zdanie pierwsze rozporządzenia nr 651/2014), przy czym ule</w:t>
      </w:r>
      <w:r w:rsidR="008B1C67">
        <w:t>ga ona</w:t>
      </w:r>
      <w:r w:rsidR="00310AA3" w:rsidRPr="003A46CA">
        <w:t xml:space="preserve"> zwiększeniu </w:t>
      </w:r>
      <w:r w:rsidR="00242882">
        <w:br/>
      </w:r>
      <w:r w:rsidR="00310AA3" w:rsidRPr="003A46CA">
        <w:t xml:space="preserve">w przypadku mikroprzedsiębiorcy i małego przedsiębiorcy o 20 punktów procentowych oraz średniego przedsiębiorcy o 10 punktów procentowych (art. 46 ust. 7 zdanie drugie rozporządzenia nr 651/2014), a także w sytuacji gdy inwestycja wykorzystuje wyłącznie </w:t>
      </w:r>
      <w:r w:rsidR="00310AA3" w:rsidRPr="003A46CA">
        <w:lastRenderedPageBreak/>
        <w:t>odnawialne źródła energii, ciepło odpadowe lub połączenie tych dwóch rodzajów energii, w tym kogenerację ze źródeł odnawialnych, o 15 punktów procentowych (§ 1</w:t>
      </w:r>
      <w:r w:rsidR="00585FCA">
        <w:t>8</w:t>
      </w:r>
      <w:r w:rsidR="00310AA3" w:rsidRPr="003A46CA">
        <w:t xml:space="preserve"> ust. 2 projektowanego rozporządzenia)</w:t>
      </w:r>
      <w:r w:rsidR="00242882">
        <w:t>.</w:t>
      </w:r>
    </w:p>
    <w:p w14:paraId="65E2B319" w14:textId="17941B01" w:rsidR="00C361C8" w:rsidRPr="003A46CA" w:rsidRDefault="00310AA3" w:rsidP="00310AA3">
      <w:pPr>
        <w:autoSpaceDE w:val="0"/>
        <w:autoSpaceDN w:val="0"/>
        <w:adjustRightInd w:val="0"/>
        <w:spacing w:before="120" w:line="360" w:lineRule="auto"/>
        <w:jc w:val="both"/>
      </w:pPr>
      <w:r w:rsidRPr="003A46CA">
        <w:t>§ 1</w:t>
      </w:r>
      <w:r w:rsidR="00585FCA">
        <w:t>8</w:t>
      </w:r>
      <w:r w:rsidRPr="003A46CA">
        <w:t xml:space="preserve"> ust. 3 projektu rozporządzenia określa alternatywny sposób zastosowania intensywności pomocy inwestycyjnej na efektywny energetycznie system ciepłowniczy i chłodniczy. Maksymalną intensywność pomocy ustala się zgodnie z art. 46 ust. 9 rozporządzenia </w:t>
      </w:r>
      <w:r w:rsidR="00242882">
        <w:br/>
      </w:r>
      <w:r w:rsidRPr="003A46CA">
        <w:t xml:space="preserve">nr 651/2014. Oznacza to, że intensywność pomocy może sięgać nawet 100% luki </w:t>
      </w:r>
      <w:r w:rsidR="00242882">
        <w:br/>
      </w:r>
      <w:r w:rsidRPr="003A46CA">
        <w:t>w finansowaniu, której definicja wskazana jest w art. 2 pkt 118 rozporządzenia nr 651/2014.</w:t>
      </w:r>
      <w:r w:rsidR="00844283" w:rsidRPr="003A46CA">
        <w:t xml:space="preserve"> </w:t>
      </w:r>
    </w:p>
    <w:p w14:paraId="138CC197" w14:textId="27DCC5EA" w:rsidR="00AF4EE9" w:rsidRPr="003A46CA" w:rsidRDefault="00AF4EE9" w:rsidP="00AF4EE9">
      <w:pPr>
        <w:autoSpaceDE w:val="0"/>
        <w:autoSpaceDN w:val="0"/>
        <w:adjustRightInd w:val="0"/>
        <w:spacing w:before="120" w:line="360" w:lineRule="auto"/>
        <w:jc w:val="both"/>
      </w:pPr>
      <w:r w:rsidRPr="003A46CA">
        <w:t>§ 1</w:t>
      </w:r>
      <w:r w:rsidR="00585FCA">
        <w:t>8</w:t>
      </w:r>
      <w:r w:rsidRPr="003A46CA">
        <w:t xml:space="preserve"> ust. 4 określa alternatywny sposób ustalenia intensywności do tego zaproponowanego </w:t>
      </w:r>
      <w:r w:rsidR="00242882">
        <w:br/>
      </w:r>
      <w:r w:rsidRPr="003A46CA">
        <w:t>w ust. 3</w:t>
      </w:r>
      <w:r w:rsidR="00BD30F1" w:rsidRPr="003A46CA">
        <w:t>,</w:t>
      </w:r>
      <w:r w:rsidRPr="003A46CA">
        <w:t xml:space="preserve"> tj. poprzez zastosowanie, zgodnie z art. 46 ust. 9 zdanie czwarte rozporządzenia </w:t>
      </w:r>
      <w:r w:rsidR="00242882">
        <w:br/>
      </w:r>
      <w:r w:rsidRPr="003A46CA">
        <w:t xml:space="preserve">nr 651/2014, procedury przetargowej zgodnej z zasadami konkurencji, o której mowa w art. 2 pkt 38 rozporządzenia nr 651/2014. </w:t>
      </w:r>
    </w:p>
    <w:p w14:paraId="7BCA10F8" w14:textId="5BA15F99" w:rsidR="005A3A89" w:rsidRPr="003A46CA" w:rsidRDefault="00804061" w:rsidP="00054236">
      <w:pPr>
        <w:autoSpaceDE w:val="0"/>
        <w:autoSpaceDN w:val="0"/>
        <w:adjustRightInd w:val="0"/>
        <w:spacing w:before="120" w:line="360" w:lineRule="auto"/>
        <w:jc w:val="both"/>
      </w:pPr>
      <w:r w:rsidRPr="003A46CA">
        <w:t>W § 1</w:t>
      </w:r>
      <w:r w:rsidR="00585FCA">
        <w:t>9</w:t>
      </w:r>
      <w:r w:rsidRPr="003A46CA">
        <w:t xml:space="preserve"> określono</w:t>
      </w:r>
      <w:r w:rsidR="005A3A89" w:rsidRPr="003A46CA">
        <w:t xml:space="preserve"> wyłączenia z zakresu stosowania niniejszego rozporządzenia dotyczące tego konkretnego przeznaczenia pomocy.</w:t>
      </w:r>
    </w:p>
    <w:p w14:paraId="36C99E89" w14:textId="2AD55B7A" w:rsidR="00073429" w:rsidRPr="003A46CA" w:rsidRDefault="00012893" w:rsidP="001E7BFE">
      <w:pPr>
        <w:autoSpaceDE w:val="0"/>
        <w:autoSpaceDN w:val="0"/>
        <w:adjustRightInd w:val="0"/>
        <w:spacing w:before="120" w:line="360" w:lineRule="auto"/>
        <w:jc w:val="both"/>
      </w:pPr>
      <w:r w:rsidRPr="003A46CA">
        <w:t xml:space="preserve">W rozdziale </w:t>
      </w:r>
      <w:r w:rsidR="005A3A89" w:rsidRPr="003A46CA">
        <w:t>5</w:t>
      </w:r>
      <w:r w:rsidRPr="003A46CA">
        <w:t xml:space="preserve"> projektu rozporządzenia uregulowano zasady udzielania pomocy inwestycyjnej na propagowanie energii ze źródeł odnawialnych</w:t>
      </w:r>
      <w:r w:rsidR="00804061" w:rsidRPr="003A46CA">
        <w:t xml:space="preserve">, propagowanie wodoru odnawialnego </w:t>
      </w:r>
      <w:r w:rsidR="00242882">
        <w:br/>
      </w:r>
      <w:r w:rsidR="00804061" w:rsidRPr="003A46CA">
        <w:t>i wysokosprawnej kogeneracji</w:t>
      </w:r>
      <w:r w:rsidR="00EC0B11" w:rsidRPr="003A46CA">
        <w:t xml:space="preserve"> w oparciu o przepisy art. 41 rozporządzenia nr 651/2014</w:t>
      </w:r>
      <w:r w:rsidRPr="003A46CA">
        <w:t xml:space="preserve">. </w:t>
      </w:r>
    </w:p>
    <w:p w14:paraId="1AFA263E" w14:textId="3E430E79" w:rsidR="00012893" w:rsidRPr="003A46CA" w:rsidRDefault="00EC0B11" w:rsidP="001E7BFE">
      <w:pPr>
        <w:autoSpaceDE w:val="0"/>
        <w:autoSpaceDN w:val="0"/>
        <w:adjustRightInd w:val="0"/>
        <w:spacing w:before="120" w:line="360" w:lineRule="auto"/>
        <w:jc w:val="both"/>
      </w:pPr>
      <w:r w:rsidRPr="003A46CA">
        <w:t>W</w:t>
      </w:r>
      <w:r w:rsidR="00012893" w:rsidRPr="003A46CA">
        <w:t xml:space="preserve"> § </w:t>
      </w:r>
      <w:r w:rsidR="00585FCA">
        <w:t>20</w:t>
      </w:r>
      <w:r w:rsidR="00012893" w:rsidRPr="003A46CA">
        <w:t xml:space="preserve"> ust. 1 </w:t>
      </w:r>
      <w:r w:rsidRPr="003A46CA">
        <w:t>zdefiniowano pojęcie „energii ze źródeł odnawialnych” poprzez odesłanie do</w:t>
      </w:r>
      <w:r w:rsidR="00E03F7C" w:rsidRPr="003A46CA">
        <w:t xml:space="preserve"> </w:t>
      </w:r>
      <w:r w:rsidRPr="003A46CA">
        <w:t>art. 2 pkt 109 rozporządzenia nr 651/2014</w:t>
      </w:r>
      <w:r w:rsidR="00352040" w:rsidRPr="003A46CA">
        <w:t xml:space="preserve">, a także pojęcie „propagowanie wodoru odnawialnego” </w:t>
      </w:r>
      <w:r w:rsidR="006E6C49" w:rsidRPr="003A46CA">
        <w:t>poprzez</w:t>
      </w:r>
      <w:r w:rsidR="00352040" w:rsidRPr="003A46CA">
        <w:t xml:space="preserve"> odesłanie do art. 2 pkt 102c rozporządzenia nr 651/2014 oraz pojęcie „wysokosprawnej kogeneracji” poprzez odesłanie do art. 2 pkt 107 rozporządzenia </w:t>
      </w:r>
      <w:r w:rsidR="00242882">
        <w:br/>
      </w:r>
      <w:r w:rsidR="00352040" w:rsidRPr="003A46CA">
        <w:t>nr 651/2014</w:t>
      </w:r>
      <w:r w:rsidRPr="003A46CA">
        <w:t>.</w:t>
      </w:r>
    </w:p>
    <w:p w14:paraId="02C86D42" w14:textId="64C18FBF" w:rsidR="00EC0B11" w:rsidRPr="003A46CA" w:rsidRDefault="00054236" w:rsidP="00EC0B11">
      <w:pPr>
        <w:autoSpaceDE w:val="0"/>
        <w:autoSpaceDN w:val="0"/>
        <w:adjustRightInd w:val="0"/>
        <w:spacing w:before="120" w:line="360" w:lineRule="auto"/>
        <w:jc w:val="both"/>
      </w:pPr>
      <w:r w:rsidRPr="003A46CA">
        <w:t>W</w:t>
      </w:r>
      <w:r w:rsidR="001E7BFE" w:rsidRPr="003A46CA">
        <w:t xml:space="preserve"> § </w:t>
      </w:r>
      <w:r w:rsidR="00585FCA">
        <w:t>20</w:t>
      </w:r>
      <w:r w:rsidRPr="003A46CA">
        <w:t xml:space="preserve"> ust. 2 </w:t>
      </w:r>
      <w:r w:rsidR="00EC0B11" w:rsidRPr="003A46CA">
        <w:t>projektu rozporządzenia określono dodatkowe warunki odnoszące się do pomocy inwestycyjnej na propagowanie energii ze źródeł odnawialnych</w:t>
      </w:r>
      <w:r w:rsidR="006E6C49" w:rsidRPr="003A46CA">
        <w:t xml:space="preserve"> propagowanie wodoru odnawialnego i wysokosprawnej kogeneracji</w:t>
      </w:r>
      <w:r w:rsidR="00EC0B11" w:rsidRPr="003A46CA">
        <w:t xml:space="preserve">. Odesłano w powyższym zakresie do art. 41 </w:t>
      </w:r>
      <w:r w:rsidR="00CB043F" w:rsidRPr="003A46CA">
        <w:t xml:space="preserve">odpowiednio do </w:t>
      </w:r>
      <w:r w:rsidR="00EC0B11" w:rsidRPr="003A46CA">
        <w:t>ust</w:t>
      </w:r>
      <w:r w:rsidR="006E6C49" w:rsidRPr="003A46CA">
        <w:t>. 1a, 2, 3, 4, 4a</w:t>
      </w:r>
      <w:r w:rsidR="00EC0B11" w:rsidRPr="003A46CA">
        <w:t xml:space="preserve"> i 5 rozporządzenia nr 651/2014, gdzie uregulowano szczegółowe kwestie związane z możliwością przyznania tej formy pomocy.</w:t>
      </w:r>
    </w:p>
    <w:p w14:paraId="10018180" w14:textId="55667635" w:rsidR="00054236" w:rsidRPr="003A46CA" w:rsidRDefault="00EC0B11" w:rsidP="001E7BFE">
      <w:pPr>
        <w:autoSpaceDE w:val="0"/>
        <w:autoSpaceDN w:val="0"/>
        <w:adjustRightInd w:val="0"/>
        <w:spacing w:before="120" w:line="360" w:lineRule="auto"/>
        <w:jc w:val="both"/>
      </w:pPr>
      <w:r w:rsidRPr="003A46CA">
        <w:t xml:space="preserve">W § </w:t>
      </w:r>
      <w:r w:rsidR="00585FCA">
        <w:t>20</w:t>
      </w:r>
      <w:r w:rsidRPr="003A46CA">
        <w:t xml:space="preserve"> ust. 3 projektu rozporządzenia </w:t>
      </w:r>
      <w:r w:rsidR="00054236" w:rsidRPr="003A46CA">
        <w:t xml:space="preserve">uregulowano kwestie związane z kwalifikowalnością kosztów. </w:t>
      </w:r>
    </w:p>
    <w:p w14:paraId="698DB0DF" w14:textId="04E38668" w:rsidR="00054236" w:rsidRPr="003A46CA" w:rsidRDefault="00054236" w:rsidP="00054236">
      <w:pPr>
        <w:autoSpaceDE w:val="0"/>
        <w:autoSpaceDN w:val="0"/>
        <w:adjustRightInd w:val="0"/>
        <w:spacing w:before="120" w:line="360" w:lineRule="auto"/>
        <w:jc w:val="both"/>
      </w:pPr>
      <w:r w:rsidRPr="003A46CA">
        <w:t xml:space="preserve">W § </w:t>
      </w:r>
      <w:r w:rsidR="00E97237" w:rsidRPr="003A46CA">
        <w:t>2</w:t>
      </w:r>
      <w:r w:rsidR="00585FCA">
        <w:t>1</w:t>
      </w:r>
      <w:r w:rsidRPr="003A46CA">
        <w:t xml:space="preserve"> projektu rozporządzenia określono dopuszczalne progi intensywności pomocy </w:t>
      </w:r>
      <w:r w:rsidR="00242882">
        <w:br/>
      </w:r>
      <w:r w:rsidRPr="003A46CA">
        <w:t>w przypadku</w:t>
      </w:r>
      <w:r w:rsidR="00EC0B11" w:rsidRPr="003A46CA">
        <w:t xml:space="preserve"> </w:t>
      </w:r>
      <w:r w:rsidRPr="003A46CA">
        <w:t>pomocy inwestycyjnej na propagowanie energii ze źródeł odnawialnych</w:t>
      </w:r>
      <w:r w:rsidR="006E6C49" w:rsidRPr="003A46CA">
        <w:t xml:space="preserve"> </w:t>
      </w:r>
      <w:r w:rsidR="006E6C49" w:rsidRPr="003A46CA">
        <w:lastRenderedPageBreak/>
        <w:t>propagowanie wodoru odnawialnego i wysokosprawnej kogeneracji</w:t>
      </w:r>
      <w:r w:rsidRPr="003A46CA">
        <w:t>. Zgodnie z ust. 1, jest ona</w:t>
      </w:r>
      <w:r w:rsidR="00EC0B11" w:rsidRPr="003A46CA">
        <w:t xml:space="preserve"> </w:t>
      </w:r>
      <w:r w:rsidRPr="003A46CA">
        <w:t>określana zgodnie z art. 41 ust. 7 rozporządzenia nr 651/2014 i może wynieść maksymalnie 45% albo</w:t>
      </w:r>
      <w:r w:rsidR="00EC0B11" w:rsidRPr="003A46CA">
        <w:t xml:space="preserve"> </w:t>
      </w:r>
      <w:r w:rsidRPr="003A46CA">
        <w:t xml:space="preserve">30% kosztów kwalifikowalnych, w zależności od </w:t>
      </w:r>
      <w:r w:rsidR="00523A3A" w:rsidRPr="003A46CA">
        <w:t>rodzaju inwestycji</w:t>
      </w:r>
      <w:r w:rsidRPr="003A46CA">
        <w:t>. Dodatkowo, intensywność pomocy zwiększ</w:t>
      </w:r>
      <w:r w:rsidR="008678C6">
        <w:t>a</w:t>
      </w:r>
      <w:r w:rsidRPr="003A46CA">
        <w:t xml:space="preserve"> </w:t>
      </w:r>
      <w:r w:rsidR="008678C6">
        <w:t xml:space="preserve">się </w:t>
      </w:r>
      <w:r w:rsidRPr="003A46CA">
        <w:t>w przypadku</w:t>
      </w:r>
      <w:r w:rsidR="00EC0B11" w:rsidRPr="003A46CA">
        <w:t xml:space="preserve"> </w:t>
      </w:r>
      <w:r w:rsidRPr="003A46CA">
        <w:t>mikroprzedsiębiorcy i małego przedsiębiorcy o 20 punktów procentowych oraz średniego</w:t>
      </w:r>
      <w:r w:rsidR="00EC0B11" w:rsidRPr="003A46CA">
        <w:t xml:space="preserve"> </w:t>
      </w:r>
      <w:r w:rsidRPr="003A46CA">
        <w:t>przedsiębiorcy o 10 punktów procentowych (art. 41 ust. 8 rozporządzenia nr 651/2014)</w:t>
      </w:r>
      <w:r w:rsidR="005514D9" w:rsidRPr="003A46CA">
        <w:t>.</w:t>
      </w:r>
      <w:r w:rsidR="00B843D6" w:rsidRPr="003A46CA">
        <w:t xml:space="preserve"> Zgodnie zaś z ust. 3 maksymalną intensywność pomocy można też ustalić zgodnie z art.</w:t>
      </w:r>
      <w:r w:rsidR="008019E8" w:rsidRPr="003A46CA">
        <w:t xml:space="preserve"> </w:t>
      </w:r>
      <w:r w:rsidR="00B843D6" w:rsidRPr="003A46CA">
        <w:t xml:space="preserve">41 ust. 10 rozporządzenia nr 651/2014. Oznacza to, że intensywność pomocy może wynieść </w:t>
      </w:r>
      <w:r w:rsidR="008019E8" w:rsidRPr="003A46CA">
        <w:t xml:space="preserve">nawet </w:t>
      </w:r>
      <w:r w:rsidR="00B843D6" w:rsidRPr="003A46CA">
        <w:t xml:space="preserve">100% kosztów kwalifikowalnych, w przypadku gdy pomoc jest przyznawana w drodze procedury przetargowej zgodnej </w:t>
      </w:r>
      <w:r w:rsidR="00242882">
        <w:br/>
      </w:r>
      <w:r w:rsidR="00B843D6" w:rsidRPr="003A46CA">
        <w:t>z zasadami</w:t>
      </w:r>
      <w:r w:rsidR="008019E8" w:rsidRPr="003A46CA">
        <w:t xml:space="preserve"> określonymi w rozporządzeniu nr 651/2014.</w:t>
      </w:r>
    </w:p>
    <w:p w14:paraId="67B2A88F" w14:textId="27A7FE87" w:rsidR="00E97237" w:rsidRPr="003A46CA" w:rsidRDefault="00E97237" w:rsidP="00011B34">
      <w:pPr>
        <w:autoSpaceDE w:val="0"/>
        <w:autoSpaceDN w:val="0"/>
        <w:adjustRightInd w:val="0"/>
        <w:spacing w:before="120" w:line="360" w:lineRule="auto"/>
        <w:jc w:val="both"/>
      </w:pPr>
      <w:bookmarkStart w:id="0" w:name="_Hlk130210529"/>
      <w:r w:rsidRPr="003A46CA">
        <w:t>W § 2</w:t>
      </w:r>
      <w:r w:rsidR="00585FCA">
        <w:t>2</w:t>
      </w:r>
      <w:r w:rsidRPr="003A46CA">
        <w:t xml:space="preserve"> określono, że w ramach rozporządzenia nie będzie udzielna pomoc na projekty </w:t>
      </w:r>
      <w:r w:rsidR="00242882">
        <w:br/>
      </w:r>
      <w:r w:rsidRPr="003A46CA">
        <w:t>o dużych rozmiarach i znaczącej wartości pomocy przyznanej na ich wsparcie, tj. powyżej limitów określonych w art. 4 ust. 1 lit. s rozporządzenia nr 651/2014.</w:t>
      </w:r>
    </w:p>
    <w:p w14:paraId="572BDF54" w14:textId="72DC441A" w:rsidR="002A7773" w:rsidRPr="003A46CA" w:rsidRDefault="00CE7262" w:rsidP="00011B34">
      <w:pPr>
        <w:autoSpaceDE w:val="0"/>
        <w:autoSpaceDN w:val="0"/>
        <w:adjustRightInd w:val="0"/>
        <w:spacing w:before="120" w:line="360" w:lineRule="auto"/>
        <w:jc w:val="both"/>
      </w:pPr>
      <w:r w:rsidRPr="003A46CA">
        <w:t xml:space="preserve">W § </w:t>
      </w:r>
      <w:r w:rsidR="00D354A0" w:rsidRPr="003A46CA">
        <w:t>2</w:t>
      </w:r>
      <w:r w:rsidR="00585FCA">
        <w:t>3</w:t>
      </w:r>
      <w:r w:rsidRPr="003A46CA">
        <w:t xml:space="preserve"> rozporządzenia uregulowano zasady przyznawania pomocy inwestycyjnej na środki wspierające efektywność energetyczną</w:t>
      </w:r>
      <w:r w:rsidR="00D83634" w:rsidRPr="003A46CA">
        <w:t xml:space="preserve"> </w:t>
      </w:r>
      <w:bookmarkStart w:id="1" w:name="_Hlk140052849"/>
      <w:r w:rsidR="00D83634" w:rsidRPr="003A46CA">
        <w:t>inną niż w budynkach</w:t>
      </w:r>
      <w:bookmarkEnd w:id="1"/>
      <w:r w:rsidRPr="003A46CA">
        <w:t>.</w:t>
      </w:r>
      <w:r w:rsidR="002A7773" w:rsidRPr="003A46CA">
        <w:t xml:space="preserve"> Pojęcie efektywności energetycznej zostało zdefiniowane poprze</w:t>
      </w:r>
      <w:r w:rsidR="001678C3" w:rsidRPr="003A46CA">
        <w:t>z</w:t>
      </w:r>
      <w:r w:rsidR="002A7773" w:rsidRPr="003A46CA">
        <w:t xml:space="preserve"> odesłanie do odpowiednich przepisów rozporządzenia nr 651/2014. </w:t>
      </w:r>
      <w:bookmarkEnd w:id="0"/>
    </w:p>
    <w:p w14:paraId="6F38E068" w14:textId="3AFAB828" w:rsidR="009202FF" w:rsidRPr="003A46CA" w:rsidRDefault="009202FF" w:rsidP="001678C3">
      <w:pPr>
        <w:autoSpaceDE w:val="0"/>
        <w:autoSpaceDN w:val="0"/>
        <w:adjustRightInd w:val="0"/>
        <w:spacing w:before="120" w:line="360" w:lineRule="auto"/>
        <w:jc w:val="both"/>
      </w:pPr>
      <w:r w:rsidRPr="003A46CA">
        <w:t xml:space="preserve">W ust. 2 określono, że pomoc będzie mogła zostać udzielana w przypadku, o którym mowa </w:t>
      </w:r>
      <w:r w:rsidR="00242882">
        <w:br/>
      </w:r>
      <w:r w:rsidRPr="003A46CA">
        <w:t xml:space="preserve">w art. 38 ust. 2 zdanie drugie rozporządzenia nr 651/2014 tj. na inwestycje podejmowane </w:t>
      </w:r>
      <w:r w:rsidR="00242882">
        <w:br/>
      </w:r>
      <w:r w:rsidRPr="003A46CA">
        <w:t>w celu spełnienia przyjętych, lecz jeszcze nieobowiązujących norm unijnych, pod warunkiem że inwestycja zostanie zrealizowana i ukończona co najmniej 18 miesięcy przed datą wejścia w życie danej normy.</w:t>
      </w:r>
    </w:p>
    <w:p w14:paraId="70C25395" w14:textId="3629734B" w:rsidR="002A7773" w:rsidRPr="003A46CA" w:rsidRDefault="001678C3" w:rsidP="001678C3">
      <w:pPr>
        <w:autoSpaceDE w:val="0"/>
        <w:autoSpaceDN w:val="0"/>
        <w:adjustRightInd w:val="0"/>
        <w:spacing w:before="120" w:line="360" w:lineRule="auto"/>
        <w:jc w:val="both"/>
      </w:pPr>
      <w:r w:rsidRPr="003A46CA">
        <w:t xml:space="preserve">Ust. </w:t>
      </w:r>
      <w:r w:rsidR="00D354A0" w:rsidRPr="003A46CA">
        <w:t xml:space="preserve">3 </w:t>
      </w:r>
      <w:r w:rsidRPr="003A46CA">
        <w:t>reguluje kwestie związane z kwalifikowalnością kosztów.</w:t>
      </w:r>
      <w:r w:rsidR="00C266F1" w:rsidRPr="003A46CA">
        <w:t xml:space="preserve"> </w:t>
      </w:r>
    </w:p>
    <w:p w14:paraId="061AF1B7" w14:textId="22FAE911" w:rsidR="00CE7262" w:rsidRPr="003A46CA" w:rsidRDefault="00CE7262" w:rsidP="00CB043F">
      <w:pPr>
        <w:autoSpaceDE w:val="0"/>
        <w:autoSpaceDN w:val="0"/>
        <w:adjustRightInd w:val="0"/>
        <w:spacing w:before="120" w:line="360" w:lineRule="auto"/>
        <w:jc w:val="both"/>
      </w:pPr>
      <w:r w:rsidRPr="003A46CA">
        <w:t xml:space="preserve">W </w:t>
      </w:r>
      <w:r w:rsidR="00D354A0" w:rsidRPr="003A46CA">
        <w:t>§ 2</w:t>
      </w:r>
      <w:r w:rsidR="00585FCA">
        <w:t>4</w:t>
      </w:r>
      <w:r w:rsidRPr="003A46CA">
        <w:t xml:space="preserve"> określono dopuszczalne progi intensywności pomocy w przypadku</w:t>
      </w:r>
      <w:r w:rsidR="00C266F1" w:rsidRPr="003A46CA">
        <w:t xml:space="preserve"> </w:t>
      </w:r>
      <w:r w:rsidRPr="003A46CA">
        <w:t>pomocy inwestycyjnej na środki wspierające efektywność energetyczną</w:t>
      </w:r>
      <w:r w:rsidR="00D83634" w:rsidRPr="003A46CA">
        <w:t xml:space="preserve"> inną niż w budynkach</w:t>
      </w:r>
      <w:r w:rsidRPr="003A46CA">
        <w:t xml:space="preserve">. Zgodnie z ust. </w:t>
      </w:r>
      <w:r w:rsidR="00D354A0" w:rsidRPr="003A46CA">
        <w:t>1</w:t>
      </w:r>
      <w:r w:rsidRPr="003A46CA">
        <w:t xml:space="preserve"> może ona</w:t>
      </w:r>
      <w:r w:rsidR="00C266F1" w:rsidRPr="003A46CA">
        <w:t xml:space="preserve"> </w:t>
      </w:r>
      <w:r w:rsidRPr="003A46CA">
        <w:t>wynieść maksymalnie 30% kosztów kwalifikowalnych (art. 38 ust. 4 rozporządzenia nr 651/2014), przy</w:t>
      </w:r>
      <w:r w:rsidR="00C266F1" w:rsidRPr="003A46CA">
        <w:t xml:space="preserve"> </w:t>
      </w:r>
      <w:r w:rsidRPr="003A46CA">
        <w:t xml:space="preserve">czym </w:t>
      </w:r>
      <w:r w:rsidR="00B40172" w:rsidRPr="003A46CA">
        <w:t xml:space="preserve">zgodnie z ust. </w:t>
      </w:r>
      <w:r w:rsidR="00D354A0" w:rsidRPr="003A46CA">
        <w:t>2</w:t>
      </w:r>
      <w:r w:rsidR="00B40172" w:rsidRPr="003A46CA">
        <w:t xml:space="preserve"> </w:t>
      </w:r>
      <w:r w:rsidRPr="003A46CA">
        <w:t>ule</w:t>
      </w:r>
      <w:r w:rsidR="008678C6">
        <w:t>ga ona</w:t>
      </w:r>
      <w:r w:rsidRPr="003A46CA">
        <w:t xml:space="preserve"> zwiększeniu </w:t>
      </w:r>
      <w:r w:rsidR="00242882">
        <w:br/>
      </w:r>
      <w:r w:rsidRPr="003A46CA">
        <w:t>w przypadku mikroprzedsiębiorcy i małego przedsiębiorcy</w:t>
      </w:r>
      <w:r w:rsidR="00C266F1" w:rsidRPr="003A46CA">
        <w:t xml:space="preserve"> </w:t>
      </w:r>
      <w:r w:rsidRPr="003A46CA">
        <w:t>o 20 punktów procentowych oraz średniego przedsiębiorcy o 10 punktów procentowych (art. 38 ust. 5</w:t>
      </w:r>
      <w:r w:rsidR="00C266F1" w:rsidRPr="003A46CA">
        <w:t xml:space="preserve"> </w:t>
      </w:r>
      <w:r w:rsidRPr="003A46CA">
        <w:t xml:space="preserve">rozporządzenia nr 651/2014), a także </w:t>
      </w:r>
      <w:r w:rsidR="00B40172" w:rsidRPr="003A46CA">
        <w:t xml:space="preserve">zgodnie z ust. </w:t>
      </w:r>
      <w:r w:rsidR="00D354A0" w:rsidRPr="003A46CA">
        <w:t>3</w:t>
      </w:r>
      <w:r w:rsidR="00B40172" w:rsidRPr="003A46CA">
        <w:t xml:space="preserve"> </w:t>
      </w:r>
      <w:r w:rsidRPr="003A46CA">
        <w:t>w sytuacji gdy inwestycja jest realizowana na obszarze objętym</w:t>
      </w:r>
      <w:r w:rsidR="00C266F1" w:rsidRPr="003A46CA">
        <w:t xml:space="preserve"> </w:t>
      </w:r>
      <w:r w:rsidRPr="003A46CA">
        <w:t>pomocą</w:t>
      </w:r>
      <w:r w:rsidR="00C266F1" w:rsidRPr="003A46CA">
        <w:t xml:space="preserve"> </w:t>
      </w:r>
      <w:r w:rsidRPr="003A46CA">
        <w:t>o odpowiednio 15 punktów procentowych w przypadku obszarów spełniających warunki</w:t>
      </w:r>
      <w:r w:rsidR="00C266F1" w:rsidRPr="003A46CA">
        <w:t xml:space="preserve"> </w:t>
      </w:r>
      <w:r w:rsidRPr="003A46CA">
        <w:t>wskazane w art. 107 ust. 3 lit. a TFUE</w:t>
      </w:r>
      <w:r w:rsidR="00C266F1" w:rsidRPr="003A46CA">
        <w:t xml:space="preserve"> </w:t>
      </w:r>
      <w:r w:rsidRPr="003A46CA">
        <w:t xml:space="preserve">oraz o 5 punktów procentowych </w:t>
      </w:r>
      <w:r w:rsidRPr="003A46CA">
        <w:lastRenderedPageBreak/>
        <w:t>w przypadku obszarów</w:t>
      </w:r>
      <w:r w:rsidR="00C266F1" w:rsidRPr="003A46CA">
        <w:t xml:space="preserve"> </w:t>
      </w:r>
      <w:r w:rsidRPr="003A46CA">
        <w:t>spełniających warunki wskazane w art. 107 ust. 3 lit. c TFUE</w:t>
      </w:r>
      <w:r w:rsidR="00B40172" w:rsidRPr="003A46CA">
        <w:t>.</w:t>
      </w:r>
      <w:r w:rsidR="00D83634" w:rsidRPr="003A46CA">
        <w:t xml:space="preserve"> Zgodnie zaś z ust. </w:t>
      </w:r>
      <w:r w:rsidR="00D354A0" w:rsidRPr="003A46CA">
        <w:t>4</w:t>
      </w:r>
      <w:r w:rsidR="00D83634" w:rsidRPr="003A46CA">
        <w:t xml:space="preserve"> maksymalną intensywność pomocy można też ustalić zgodnie z 38 ust. 7 zdanie pierwsze rozporządzenia nr 651/2014. Oznacza to, że intensywność pomocy może wynieść nawet 100% kosztów kwalifikowalnych, w przypadku gdy pomoc jest przyznawana w drodze procedury przetargowej zgodnej z zasadami określonymi w rozporządzeniu nr 651/2014.</w:t>
      </w:r>
      <w:r w:rsidR="00CB043F" w:rsidRPr="003A46CA">
        <w:t xml:space="preserve"> Zgodnie zaś z ust. </w:t>
      </w:r>
      <w:r w:rsidR="00D354A0" w:rsidRPr="003A46CA">
        <w:t>5</w:t>
      </w:r>
      <w:r w:rsidR="00C05DBB" w:rsidRPr="003A46CA">
        <w:t>,</w:t>
      </w:r>
      <w:r w:rsidR="00CB043F" w:rsidRPr="003A46CA">
        <w:t xml:space="preserve"> w przypadku w którym koszy kwalifikowalne zostaną określone bez scenariusza alternatywnego oraz bez procedury, o której mowa w art. 2 pkt 38 rozporządzenia nr 651/2014, maksymalną intensywność pomocy, obliczoną zgodnie z § </w:t>
      </w:r>
      <w:r w:rsidR="00D354A0" w:rsidRPr="003A46CA">
        <w:t>2</w:t>
      </w:r>
      <w:r w:rsidR="00317808">
        <w:t>4</w:t>
      </w:r>
      <w:r w:rsidR="00CB043F" w:rsidRPr="003A46CA">
        <w:t xml:space="preserve"> ust. </w:t>
      </w:r>
      <w:r w:rsidR="00D354A0" w:rsidRPr="003A46CA">
        <w:t>1-3</w:t>
      </w:r>
      <w:r w:rsidR="00CB043F" w:rsidRPr="003A46CA">
        <w:t xml:space="preserve"> pomniejsza się o 50%.</w:t>
      </w:r>
    </w:p>
    <w:p w14:paraId="5121FD64" w14:textId="0ECBF42A" w:rsidR="003F725B" w:rsidRPr="003A46CA" w:rsidRDefault="003F725B" w:rsidP="00CB043F">
      <w:pPr>
        <w:autoSpaceDE w:val="0"/>
        <w:autoSpaceDN w:val="0"/>
        <w:adjustRightInd w:val="0"/>
        <w:spacing w:before="120" w:line="360" w:lineRule="auto"/>
        <w:jc w:val="both"/>
      </w:pPr>
      <w:r w:rsidRPr="003A46CA">
        <w:t xml:space="preserve">W § </w:t>
      </w:r>
      <w:r w:rsidR="00D354A0" w:rsidRPr="003A46CA">
        <w:t>2</w:t>
      </w:r>
      <w:r w:rsidR="00585FCA">
        <w:t>5</w:t>
      </w:r>
      <w:r w:rsidRPr="003A46CA">
        <w:t xml:space="preserve"> określono</w:t>
      </w:r>
      <w:r w:rsidR="00D354A0" w:rsidRPr="003A46CA">
        <w:t xml:space="preserve"> wyłączenia z zakresu stosowania niniejszego rozporządzenia dotyczące</w:t>
      </w:r>
      <w:r w:rsidR="00242882">
        <w:br/>
      </w:r>
      <w:r w:rsidR="00D354A0" w:rsidRPr="003A46CA">
        <w:t xml:space="preserve"> tego konkretnego przeznaczenia pomocy.</w:t>
      </w:r>
    </w:p>
    <w:p w14:paraId="011BEE37" w14:textId="4162B192" w:rsidR="0082653C" w:rsidRPr="003A46CA" w:rsidRDefault="00D83634" w:rsidP="0082653C">
      <w:pPr>
        <w:autoSpaceDE w:val="0"/>
        <w:autoSpaceDN w:val="0"/>
        <w:adjustRightInd w:val="0"/>
        <w:spacing w:before="120" w:line="360" w:lineRule="auto"/>
        <w:jc w:val="both"/>
      </w:pPr>
      <w:r w:rsidRPr="003A46CA">
        <w:t xml:space="preserve">W § </w:t>
      </w:r>
      <w:r w:rsidR="00A57157" w:rsidRPr="003A46CA">
        <w:t>2</w:t>
      </w:r>
      <w:r w:rsidR="00585FCA">
        <w:t>6</w:t>
      </w:r>
      <w:r w:rsidRPr="003A46CA">
        <w:t xml:space="preserve"> projektowanego rozporządzenia uregulowano zasady przyznawania pomocy inwestycyjnej na środki wspierające efektywność energetyczną w budynkach.</w:t>
      </w:r>
      <w:r w:rsidR="0082653C" w:rsidRPr="003A46CA">
        <w:t xml:space="preserve"> Pojęcie efektywności energetycznej zostało zdefiniowane poprzez odesłanie do odpowiednich przepisów rozporządzenia nr 651/2014. </w:t>
      </w:r>
    </w:p>
    <w:p w14:paraId="3B7F58FF" w14:textId="22584D66" w:rsidR="00FC020E" w:rsidRPr="003A46CA" w:rsidRDefault="0082653C" w:rsidP="0082653C">
      <w:pPr>
        <w:autoSpaceDE w:val="0"/>
        <w:autoSpaceDN w:val="0"/>
        <w:adjustRightInd w:val="0"/>
        <w:spacing w:before="120" w:line="360" w:lineRule="auto"/>
        <w:jc w:val="both"/>
      </w:pPr>
      <w:r w:rsidRPr="003A46CA">
        <w:t xml:space="preserve">Ust. </w:t>
      </w:r>
      <w:r w:rsidR="00A57157" w:rsidRPr="003A46CA">
        <w:t>2</w:t>
      </w:r>
      <w:r w:rsidRPr="003A46CA">
        <w:t xml:space="preserve"> </w:t>
      </w:r>
      <w:r w:rsidR="00FC020E" w:rsidRPr="003A46CA">
        <w:t>wprowadza warunek dopuszczalności dla pomocy inwestycyjnej na środki wspierające efektywność energetyczną w budynkach dotyczący poprawy charakterystyki energetycznej budynku pod względem energii pierwotnej i odsyła w tym zakresie do art. 38a ust. 6 rozporządzenia nr 651/2014.</w:t>
      </w:r>
    </w:p>
    <w:p w14:paraId="5718B14D" w14:textId="3B959DE4" w:rsidR="00E9462D" w:rsidRPr="003A46CA" w:rsidRDefault="00E9462D" w:rsidP="00E9462D">
      <w:pPr>
        <w:autoSpaceDE w:val="0"/>
        <w:autoSpaceDN w:val="0"/>
        <w:adjustRightInd w:val="0"/>
        <w:spacing w:before="120" w:line="360" w:lineRule="auto"/>
        <w:jc w:val="both"/>
      </w:pPr>
      <w:r w:rsidRPr="003A46CA">
        <w:t xml:space="preserve">Ust. </w:t>
      </w:r>
      <w:r w:rsidR="00A57157" w:rsidRPr="003A46CA">
        <w:t>3</w:t>
      </w:r>
      <w:r w:rsidRPr="003A46CA">
        <w:t xml:space="preserve"> określa dodatkowe, fakultatywne warunki dopuszczalności w odniesieniu do tego rodzaju pomocy. W przypadku pomocy inwestycyjnej na środki wspierające efektywność energetyczną w budynkach pomoc może:</w:t>
      </w:r>
    </w:p>
    <w:p w14:paraId="6956C617" w14:textId="303671E7" w:rsidR="00E9462D" w:rsidRPr="003A46CA" w:rsidRDefault="00E9462D" w:rsidP="00FC6AA4">
      <w:pPr>
        <w:pStyle w:val="Akapitzlist"/>
        <w:numPr>
          <w:ilvl w:val="0"/>
          <w:numId w:val="22"/>
        </w:numPr>
        <w:autoSpaceDE w:val="0"/>
        <w:autoSpaceDN w:val="0"/>
        <w:adjustRightInd w:val="0"/>
        <w:spacing w:before="120" w:line="360" w:lineRule="auto"/>
        <w:jc w:val="both"/>
      </w:pPr>
      <w:r w:rsidRPr="003A46CA">
        <w:t>zostać udzielona na inwestycje podejmowane w celu spełnienia przyjętych ale jeszcze nieobowiązujących norm unijnych, jeżeli są spełnione warunki, o których mowa w art. 38a ust. 3 rozporządzenia nr 651/2014;</w:t>
      </w:r>
    </w:p>
    <w:p w14:paraId="40FA4882" w14:textId="72499A35" w:rsidR="00E9462D" w:rsidRPr="003A46CA" w:rsidRDefault="00E9462D" w:rsidP="00FC6AA4">
      <w:pPr>
        <w:pStyle w:val="Akapitzlist"/>
        <w:numPr>
          <w:ilvl w:val="0"/>
          <w:numId w:val="22"/>
        </w:numPr>
        <w:autoSpaceDE w:val="0"/>
        <w:autoSpaceDN w:val="0"/>
        <w:adjustRightInd w:val="0"/>
        <w:spacing w:before="120" w:line="360" w:lineRule="auto"/>
        <w:jc w:val="both"/>
      </w:pPr>
      <w:r w:rsidRPr="003A46CA">
        <w:t xml:space="preserve">być łączona z pomocą na niektóre lub wszystkie z działań, o których mowa w art. 38a ust. 7 rozporządzenia nr 651/2014, jeżeli zostaną spełnione warunki, o których mowa </w:t>
      </w:r>
      <w:r w:rsidR="00242882">
        <w:br/>
      </w:r>
      <w:r w:rsidRPr="003A46CA">
        <w:t>w tym przepisie;</w:t>
      </w:r>
    </w:p>
    <w:p w14:paraId="5CBC6922" w14:textId="0CADC856" w:rsidR="00E9462D" w:rsidRPr="003A46CA" w:rsidRDefault="00E9462D" w:rsidP="00FC6AA4">
      <w:pPr>
        <w:pStyle w:val="Akapitzlist"/>
        <w:numPr>
          <w:ilvl w:val="0"/>
          <w:numId w:val="22"/>
        </w:numPr>
        <w:autoSpaceDE w:val="0"/>
        <w:autoSpaceDN w:val="0"/>
        <w:adjustRightInd w:val="0"/>
        <w:spacing w:before="120" w:line="360" w:lineRule="auto"/>
        <w:jc w:val="both"/>
      </w:pPr>
      <w:r w:rsidRPr="003A46CA">
        <w:t xml:space="preserve">zostać przyznana właścicielowi lub najemcy budynku, w zależności od tego </w:t>
      </w:r>
      <w:r w:rsidR="00242882">
        <w:br/>
      </w:r>
      <w:r w:rsidRPr="003A46CA">
        <w:t>kto występuje o środek na rzecz poprawy efektywności energetycznej;</w:t>
      </w:r>
    </w:p>
    <w:p w14:paraId="0523287B" w14:textId="01EB4012" w:rsidR="00E9462D" w:rsidRPr="003A46CA" w:rsidRDefault="00E9462D" w:rsidP="00FC6AA4">
      <w:pPr>
        <w:pStyle w:val="Akapitzlist"/>
        <w:numPr>
          <w:ilvl w:val="0"/>
          <w:numId w:val="22"/>
        </w:numPr>
        <w:autoSpaceDE w:val="0"/>
        <w:autoSpaceDN w:val="0"/>
        <w:adjustRightInd w:val="0"/>
        <w:spacing w:before="120" w:line="360" w:lineRule="auto"/>
        <w:jc w:val="both"/>
      </w:pPr>
      <w:r w:rsidRPr="003A46CA">
        <w:t xml:space="preserve">zostać udzielona na poprawę efektywności energetycznej urządzeń grzewczych </w:t>
      </w:r>
      <w:r w:rsidR="00242882">
        <w:br/>
      </w:r>
      <w:r w:rsidRPr="003A46CA">
        <w:t>lub chłodzących wewnątrz budynku.</w:t>
      </w:r>
    </w:p>
    <w:p w14:paraId="278E60DD" w14:textId="3905A830" w:rsidR="0082653C" w:rsidRPr="003A46CA" w:rsidRDefault="003F725B" w:rsidP="0082653C">
      <w:pPr>
        <w:autoSpaceDE w:val="0"/>
        <w:autoSpaceDN w:val="0"/>
        <w:adjustRightInd w:val="0"/>
        <w:spacing w:before="120" w:line="360" w:lineRule="auto"/>
        <w:jc w:val="both"/>
      </w:pPr>
      <w:r w:rsidRPr="003A46CA">
        <w:lastRenderedPageBreak/>
        <w:t xml:space="preserve">Ust. </w:t>
      </w:r>
      <w:r w:rsidR="00A57157" w:rsidRPr="003A46CA">
        <w:t>4</w:t>
      </w:r>
      <w:r w:rsidRPr="003A46CA">
        <w:t xml:space="preserve"> </w:t>
      </w:r>
      <w:r w:rsidR="0082653C" w:rsidRPr="003A46CA">
        <w:t xml:space="preserve">reguluje kwestie związane z kwalifikowalnością kosztów. W przypadku pomocy inwestycyjnej na środki wspierające efektywność energetyczną w budynkach, </w:t>
      </w:r>
      <w:r w:rsidR="00242882">
        <w:br/>
      </w:r>
      <w:r w:rsidR="0082653C" w:rsidRPr="003A46CA">
        <w:t>za kwalifikowalne</w:t>
      </w:r>
      <w:r w:rsidR="008231E4" w:rsidRPr="003A46CA">
        <w:t xml:space="preserve"> zostaną uznane</w:t>
      </w:r>
      <w:r w:rsidR="0082653C" w:rsidRPr="003A46CA">
        <w:t>, zgodnie z art. 38</w:t>
      </w:r>
      <w:r w:rsidR="008231E4" w:rsidRPr="003A46CA">
        <w:t>a</w:t>
      </w:r>
      <w:r w:rsidR="0082653C" w:rsidRPr="003A46CA">
        <w:t xml:space="preserve"> ust. </w:t>
      </w:r>
      <w:r w:rsidR="008231E4" w:rsidRPr="003A46CA">
        <w:t>5</w:t>
      </w:r>
      <w:r w:rsidR="0082653C" w:rsidRPr="003A46CA">
        <w:t xml:space="preserve"> rozporządzenia nr 651/2014, </w:t>
      </w:r>
      <w:r w:rsidR="008231E4" w:rsidRPr="003A46CA">
        <w:t>całkowite</w:t>
      </w:r>
      <w:r w:rsidR="0082653C" w:rsidRPr="003A46CA">
        <w:t xml:space="preserve"> koszty inwestycji </w:t>
      </w:r>
      <w:r w:rsidR="008231E4" w:rsidRPr="003A46CA">
        <w:t>bezpośrednio związane z</w:t>
      </w:r>
      <w:r w:rsidR="0082653C" w:rsidRPr="003A46CA">
        <w:t xml:space="preserve"> osiągnięci</w:t>
      </w:r>
      <w:r w:rsidR="008231E4" w:rsidRPr="003A46CA">
        <w:t>em</w:t>
      </w:r>
      <w:r w:rsidR="0082653C" w:rsidRPr="003A46CA">
        <w:t xml:space="preserve"> wyższego poziomu efektywności energetycznej</w:t>
      </w:r>
      <w:r w:rsidR="008231E4" w:rsidRPr="003A46CA">
        <w:t xml:space="preserve"> budynku</w:t>
      </w:r>
      <w:r w:rsidR="0082653C" w:rsidRPr="003A46CA">
        <w:t xml:space="preserve">. </w:t>
      </w:r>
      <w:r w:rsidR="009D4320" w:rsidRPr="003A46CA">
        <w:t>Zaś w przypadku działań wymienionych w z art. 38a ust. 7 rozporządzenia nr 651/2014, za koszty kwalifikowalne uznaje się całkowite koszty inwestycji w poszczególne instalacje i urządzenia.</w:t>
      </w:r>
    </w:p>
    <w:p w14:paraId="387288B3" w14:textId="2F80E4D3" w:rsidR="00A57157" w:rsidRPr="003A46CA" w:rsidRDefault="0082653C" w:rsidP="0082653C">
      <w:pPr>
        <w:autoSpaceDE w:val="0"/>
        <w:autoSpaceDN w:val="0"/>
        <w:adjustRightInd w:val="0"/>
        <w:spacing w:before="120" w:line="360" w:lineRule="auto"/>
        <w:jc w:val="both"/>
      </w:pPr>
      <w:r w:rsidRPr="003A46CA">
        <w:t xml:space="preserve">W </w:t>
      </w:r>
      <w:r w:rsidR="00A57157" w:rsidRPr="003A46CA">
        <w:t>§ 2</w:t>
      </w:r>
      <w:r w:rsidR="00585FCA">
        <w:t>7</w:t>
      </w:r>
      <w:r w:rsidR="00A57157" w:rsidRPr="003A46CA">
        <w:t xml:space="preserve"> ust. 1</w:t>
      </w:r>
      <w:r w:rsidRPr="003A46CA">
        <w:t xml:space="preserve"> określono dopuszczalne progi intensywności pomocy w przypadku pomocy inwestycyjnej na środki wspierające efektywność energetyczną w budynkach</w:t>
      </w:r>
      <w:r w:rsidR="008231E4" w:rsidRPr="003A46CA">
        <w:t>, poprzez odesłanie do z art. 38a ust. 11-13 rozporządzenia nr 651/2014</w:t>
      </w:r>
      <w:r w:rsidRPr="003A46CA">
        <w:t xml:space="preserve">. Zgodnie z ust. </w:t>
      </w:r>
      <w:r w:rsidR="00A57157" w:rsidRPr="003A46CA">
        <w:t>2</w:t>
      </w:r>
      <w:r w:rsidRPr="003A46CA">
        <w:t xml:space="preserve"> ule</w:t>
      </w:r>
      <w:r w:rsidR="008678C6">
        <w:t>g</w:t>
      </w:r>
      <w:r w:rsidRPr="003A46CA">
        <w:t xml:space="preserve"> </w:t>
      </w:r>
      <w:r w:rsidR="008678C6">
        <w:t xml:space="preserve">ona </w:t>
      </w:r>
      <w:r w:rsidRPr="003A46CA">
        <w:t>zwiększeniu w przypadku mikroprzedsiębiorcy i małego przedsiębiorcy o 20 punktów procentowych oraz średniego przedsiębiorcy o 10 punktów procentowych (art. 38</w:t>
      </w:r>
      <w:r w:rsidR="008231E4" w:rsidRPr="003A46CA">
        <w:t>a</w:t>
      </w:r>
      <w:r w:rsidRPr="003A46CA">
        <w:t xml:space="preserve"> ust. </w:t>
      </w:r>
      <w:r w:rsidR="008231E4" w:rsidRPr="003A46CA">
        <w:t>14</w:t>
      </w:r>
      <w:r w:rsidRPr="003A46CA">
        <w:t xml:space="preserve"> rozporządzenia nr 651/2014), a także zgodnie z ust. </w:t>
      </w:r>
      <w:r w:rsidR="00A57157" w:rsidRPr="003A46CA">
        <w:t>3</w:t>
      </w:r>
      <w:r w:rsidRPr="003A46CA">
        <w:t xml:space="preserve"> w sytuacji gdy inwestycja jest realizowana na obszarze objętym pomocą o odpowiednio 15 punktów procentowych </w:t>
      </w:r>
      <w:r w:rsidR="00242882">
        <w:br/>
      </w:r>
      <w:r w:rsidRPr="003A46CA">
        <w:t xml:space="preserve">w przypadku obszarów spełniających warunki wskazane w art. 107 ust. 3 lit. a TFUE oraz o 5 punktów procentowych w przypadku obszarów spełniających warunki wskazane w art. 107 </w:t>
      </w:r>
      <w:r w:rsidR="00242882">
        <w:br/>
      </w:r>
      <w:r w:rsidRPr="003A46CA">
        <w:t xml:space="preserve">ust. 3 lit. c TFUE. Zgodnie zaś z ust. </w:t>
      </w:r>
      <w:r w:rsidR="00A57157" w:rsidRPr="003A46CA">
        <w:t>4</w:t>
      </w:r>
      <w:r w:rsidRPr="003A46CA">
        <w:t xml:space="preserve"> maksymaln</w:t>
      </w:r>
      <w:r w:rsidR="00AD0B64" w:rsidRPr="003A46CA">
        <w:t>a</w:t>
      </w:r>
      <w:r w:rsidRPr="003A46CA">
        <w:t xml:space="preserve"> intensywność </w:t>
      </w:r>
      <w:r w:rsidR="00AD0B64" w:rsidRPr="003A46CA">
        <w:t>pomocy ule</w:t>
      </w:r>
      <w:r w:rsidR="008678C6">
        <w:t>ga</w:t>
      </w:r>
      <w:r w:rsidR="00AD0B64" w:rsidRPr="003A46CA">
        <w:t xml:space="preserve"> zwiększeniu o 15 punktów procentowych w przypadku pomocy przyznawanej na poprawę efektywności energetycznej istniejących budynków, w warunkach określonych w art. 38a </w:t>
      </w:r>
      <w:r w:rsidR="00242882">
        <w:br/>
      </w:r>
      <w:r w:rsidR="00AD0B64" w:rsidRPr="003A46CA">
        <w:t>ust. 16 rozporządzenia nr 651/2014.</w:t>
      </w:r>
      <w:r w:rsidR="003F725B" w:rsidRPr="003A46CA">
        <w:t xml:space="preserve"> </w:t>
      </w:r>
    </w:p>
    <w:p w14:paraId="34B95738" w14:textId="7ED7479E" w:rsidR="00A57157" w:rsidRPr="003A46CA" w:rsidRDefault="00A57157" w:rsidP="00DF2EBF">
      <w:pPr>
        <w:autoSpaceDE w:val="0"/>
        <w:autoSpaceDN w:val="0"/>
        <w:adjustRightInd w:val="0"/>
        <w:spacing w:before="120" w:line="360" w:lineRule="auto"/>
        <w:jc w:val="both"/>
      </w:pPr>
      <w:r w:rsidRPr="003A46CA">
        <w:t>W § 2</w:t>
      </w:r>
      <w:r w:rsidR="00585FCA">
        <w:t>8</w:t>
      </w:r>
      <w:r w:rsidRPr="003A46CA">
        <w:t xml:space="preserve"> określono wyłączenia z zakresu stosowania niniejszego rozporządzenia dotyczące </w:t>
      </w:r>
      <w:r w:rsidR="00242882">
        <w:br/>
      </w:r>
      <w:r w:rsidRPr="003A46CA">
        <w:t>tego konkretnego przeznaczenia pomocy.</w:t>
      </w:r>
    </w:p>
    <w:p w14:paraId="514DA7FE" w14:textId="23E377DA" w:rsidR="00DF2EBF" w:rsidRPr="003A46CA" w:rsidRDefault="00DF2EBF" w:rsidP="00DF2EBF">
      <w:pPr>
        <w:autoSpaceDE w:val="0"/>
        <w:autoSpaceDN w:val="0"/>
        <w:adjustRightInd w:val="0"/>
        <w:spacing w:before="120" w:line="360" w:lineRule="auto"/>
        <w:jc w:val="both"/>
      </w:pPr>
      <w:r w:rsidRPr="003A46CA">
        <w:t xml:space="preserve">W § </w:t>
      </w:r>
      <w:r w:rsidR="00EC0B11" w:rsidRPr="003A46CA">
        <w:t>2</w:t>
      </w:r>
      <w:r w:rsidR="00585FCA">
        <w:t>9</w:t>
      </w:r>
      <w:r w:rsidRPr="003A46CA">
        <w:t xml:space="preserve"> </w:t>
      </w:r>
      <w:r w:rsidR="00D83634" w:rsidRPr="003A46CA">
        <w:t>projektu r</w:t>
      </w:r>
      <w:r w:rsidRPr="003A46CA">
        <w:t>ozporządzenia uregulowano zasady przyznawania mikroprzedsiębiorcom, małym lub średnim przedsiębiorcom pomocy na usługi doradcze</w:t>
      </w:r>
      <w:r w:rsidR="00EC0B11" w:rsidRPr="003A46CA">
        <w:t xml:space="preserve"> w oparciu o przepisy art. 18 rozporządzenia nr 651/2014</w:t>
      </w:r>
      <w:r w:rsidRPr="003A46CA">
        <w:t>.</w:t>
      </w:r>
    </w:p>
    <w:p w14:paraId="0958407B" w14:textId="637BDCA2" w:rsidR="00CE7262" w:rsidRPr="003A46CA" w:rsidRDefault="00DF2EBF" w:rsidP="00DF2EBF">
      <w:pPr>
        <w:autoSpaceDE w:val="0"/>
        <w:autoSpaceDN w:val="0"/>
        <w:adjustRightInd w:val="0"/>
        <w:spacing w:before="120" w:line="360" w:lineRule="auto"/>
        <w:jc w:val="both"/>
      </w:pPr>
      <w:r w:rsidRPr="003A46CA">
        <w:t>Ust. 2 określa, co projektodawca uważa za koszty kwalifikowalne, które będą mogły zostać objęte pomocą na usługi doradcze. Kosztami kwalifikowalnymi usług doradczych są koszty usług</w:t>
      </w:r>
      <w:r w:rsidR="00E03F7C" w:rsidRPr="003A46CA">
        <w:t xml:space="preserve"> </w:t>
      </w:r>
      <w:r w:rsidRPr="003A46CA">
        <w:t xml:space="preserve">świadczone przez doradców zewnętrznych, które zgodnie z warunkami wskazanymi </w:t>
      </w:r>
      <w:r w:rsidR="00812074">
        <w:br/>
      </w:r>
      <w:r w:rsidRPr="003A46CA">
        <w:t xml:space="preserve">w art. 18 ust. 4 rozporządzenia nr 651/2014, nie mają charakteru ciągłego ani okresowego, </w:t>
      </w:r>
      <w:r w:rsidR="00812074">
        <w:br/>
      </w:r>
      <w:r w:rsidRPr="003A46CA">
        <w:t>nie są też związane</w:t>
      </w:r>
      <w:r w:rsidR="00E03F7C" w:rsidRPr="003A46CA">
        <w:t xml:space="preserve"> </w:t>
      </w:r>
      <w:r w:rsidRPr="003A46CA">
        <w:t>ze zwykłymi kosztami operacyjnymi przedsiębiorstwa, takimi jak rutynowe usługi doradztwa podatkowego, regularne usługi prawnicze lub reklama.</w:t>
      </w:r>
    </w:p>
    <w:p w14:paraId="53FDF949" w14:textId="21A0ACC1" w:rsidR="00CE7262" w:rsidRPr="003A46CA" w:rsidRDefault="005E2BDD" w:rsidP="00011B34">
      <w:pPr>
        <w:autoSpaceDE w:val="0"/>
        <w:autoSpaceDN w:val="0"/>
        <w:adjustRightInd w:val="0"/>
        <w:spacing w:before="120" w:line="360" w:lineRule="auto"/>
        <w:jc w:val="both"/>
      </w:pPr>
      <w:r w:rsidRPr="003A46CA">
        <w:lastRenderedPageBreak/>
        <w:t xml:space="preserve">§ </w:t>
      </w:r>
      <w:r w:rsidR="00317808">
        <w:t>30</w:t>
      </w:r>
      <w:r w:rsidRPr="003A46CA">
        <w:t xml:space="preserve"> określa maksymalną intensywność pomocy na usługi doradcze (odsyłając do art. 18 ust. 2 rozporządzenia nr 651/2014), która wynosi 50% wartości kosztów kwalifikowalnych.</w:t>
      </w:r>
    </w:p>
    <w:p w14:paraId="29042A7C" w14:textId="2C102E79" w:rsidR="0056052A" w:rsidRPr="003A46CA" w:rsidRDefault="003D4520" w:rsidP="003D4520">
      <w:pPr>
        <w:autoSpaceDE w:val="0"/>
        <w:autoSpaceDN w:val="0"/>
        <w:adjustRightInd w:val="0"/>
        <w:spacing w:before="120" w:line="360" w:lineRule="auto"/>
        <w:jc w:val="both"/>
      </w:pPr>
      <w:r w:rsidRPr="003A46CA">
        <w:t xml:space="preserve">§ </w:t>
      </w:r>
      <w:r w:rsidR="00BA1A40" w:rsidRPr="003A46CA">
        <w:t>3</w:t>
      </w:r>
      <w:r w:rsidR="00317808">
        <w:t>1</w:t>
      </w:r>
      <w:r w:rsidR="00E03F7C" w:rsidRPr="003A46CA">
        <w:t xml:space="preserve"> </w:t>
      </w:r>
      <w:r w:rsidR="00AD0B64" w:rsidRPr="003A46CA">
        <w:t>wskazuje, że w ramach rozporządzenia nie będzie udzielna pomoc na</w:t>
      </w:r>
      <w:r w:rsidR="00E03F7C" w:rsidRPr="003A46CA">
        <w:t xml:space="preserve"> </w:t>
      </w:r>
      <w:r w:rsidR="00AD0B64" w:rsidRPr="003A46CA">
        <w:t>projekty o dużych rozmiarach i znaczącej wartości pomocy przyznanej na ich wsparcie, tj. powyżej limitów określonych w art. 4 ust. 1 lit. d</w:t>
      </w:r>
      <w:r w:rsidR="00E03F7C" w:rsidRPr="003A46CA">
        <w:t xml:space="preserve"> </w:t>
      </w:r>
      <w:r w:rsidR="00AD0B64" w:rsidRPr="003A46CA">
        <w:t xml:space="preserve">rozporządzenia nr 651/2014. </w:t>
      </w:r>
    </w:p>
    <w:p w14:paraId="277A416D" w14:textId="03D3A0F1" w:rsidR="003D4520" w:rsidRPr="003A46CA" w:rsidRDefault="00D44F49" w:rsidP="003D4520">
      <w:pPr>
        <w:autoSpaceDE w:val="0"/>
        <w:autoSpaceDN w:val="0"/>
        <w:adjustRightInd w:val="0"/>
        <w:spacing w:before="120" w:line="360" w:lineRule="auto"/>
        <w:jc w:val="both"/>
      </w:pPr>
      <w:r w:rsidRPr="003A46CA">
        <w:t xml:space="preserve">W § </w:t>
      </w:r>
      <w:r w:rsidR="00BA1A40" w:rsidRPr="003A46CA">
        <w:t>3</w:t>
      </w:r>
      <w:r w:rsidR="00317808">
        <w:t>2</w:t>
      </w:r>
      <w:r w:rsidR="003A6217" w:rsidRPr="003A46CA">
        <w:t xml:space="preserve"> projektu rozporządzenia</w:t>
      </w:r>
      <w:r w:rsidRPr="003A46CA">
        <w:t xml:space="preserve"> </w:t>
      </w:r>
      <w:bookmarkStart w:id="2" w:name="_Hlk130295878"/>
      <w:r w:rsidRPr="003A46CA">
        <w:t xml:space="preserve">uregulowano pomoc przedsiębiorcom pragnącym skorzystać z pomocy szkoleniowej, o której mowa w art. 31 rozporządzenia Komisji (UE) nr 651/2014 </w:t>
      </w:r>
      <w:r w:rsidR="00812074">
        <w:br/>
      </w:r>
      <w:r w:rsidRPr="003A46CA">
        <w:t xml:space="preserve">z dnia 17 czerwca 2014 r. </w:t>
      </w:r>
      <w:r w:rsidR="003A6217" w:rsidRPr="003A46CA">
        <w:t xml:space="preserve">Pomoc szkoleniowa </w:t>
      </w:r>
      <w:r w:rsidR="009A39CA" w:rsidRPr="003A46CA">
        <w:t xml:space="preserve">nie </w:t>
      </w:r>
      <w:r w:rsidR="003A6217" w:rsidRPr="003A46CA">
        <w:t xml:space="preserve">może być przyznana na szkolenia prowadzone przez przedsiębiorstwa w celu przestrzegania obowiązkowych norm krajowych </w:t>
      </w:r>
      <w:r w:rsidR="00812074">
        <w:br/>
      </w:r>
      <w:r w:rsidR="003A6217" w:rsidRPr="003A46CA">
        <w:t>w zakresie szkoleń (art. 31 ust. 2 rozporządzenia nr 651/2014)</w:t>
      </w:r>
      <w:r w:rsidR="009A39CA" w:rsidRPr="003A46CA">
        <w:t>.</w:t>
      </w:r>
    </w:p>
    <w:bookmarkEnd w:id="2"/>
    <w:p w14:paraId="3C005DE6" w14:textId="58D44038" w:rsidR="00DA1A28" w:rsidRPr="003A46CA" w:rsidRDefault="00DA1A28" w:rsidP="00DA1A28">
      <w:pPr>
        <w:autoSpaceDE w:val="0"/>
        <w:autoSpaceDN w:val="0"/>
        <w:adjustRightInd w:val="0"/>
        <w:spacing w:before="120" w:line="360" w:lineRule="auto"/>
        <w:jc w:val="both"/>
      </w:pPr>
      <w:r w:rsidRPr="003A46CA">
        <w:t xml:space="preserve">W § </w:t>
      </w:r>
      <w:r w:rsidR="00BA1A40" w:rsidRPr="003A46CA">
        <w:t>3</w:t>
      </w:r>
      <w:r w:rsidR="00317808">
        <w:t>2</w:t>
      </w:r>
      <w:r w:rsidRPr="003A46CA">
        <w:t xml:space="preserve"> ust. 2 określono koszty kwalifikowalne, które mogą zostać objęte pomocą. Za koszty kwalifikowalne, zgodnie z art. 31 ust. 3 rozporządzenia nr 651/2014, uznaje się:</w:t>
      </w:r>
    </w:p>
    <w:p w14:paraId="751F2016" w14:textId="2A4C8B46" w:rsidR="00DA1A28" w:rsidRPr="003A46CA" w:rsidRDefault="00DA1A28" w:rsidP="00FC6AA4">
      <w:pPr>
        <w:pStyle w:val="Akapitzlist"/>
        <w:numPr>
          <w:ilvl w:val="0"/>
          <w:numId w:val="24"/>
        </w:numPr>
        <w:autoSpaceDE w:val="0"/>
        <w:autoSpaceDN w:val="0"/>
        <w:adjustRightInd w:val="0"/>
        <w:spacing w:before="120" w:line="360" w:lineRule="auto"/>
        <w:jc w:val="both"/>
      </w:pPr>
      <w:r w:rsidRPr="003A46CA">
        <w:t>koszty zatrudnienia wykładowców poniesione za godziny, podczas których wykładowcy uczestniczą w szkoleniu;</w:t>
      </w:r>
    </w:p>
    <w:p w14:paraId="461EDC89" w14:textId="578778F2" w:rsidR="00DA1A28" w:rsidRPr="003A46CA" w:rsidRDefault="00DA1A28" w:rsidP="00FC6AA4">
      <w:pPr>
        <w:pStyle w:val="Akapitzlist"/>
        <w:numPr>
          <w:ilvl w:val="0"/>
          <w:numId w:val="24"/>
        </w:numPr>
        <w:autoSpaceDE w:val="0"/>
        <w:autoSpaceDN w:val="0"/>
        <w:adjustRightInd w:val="0"/>
        <w:spacing w:before="120" w:line="360" w:lineRule="auto"/>
        <w:jc w:val="both"/>
      </w:pPr>
      <w:r w:rsidRPr="003A46CA">
        <w:t xml:space="preserve">koszty operacyjne wykładowców i uczestników szkolenia bezpośrednio związane </w:t>
      </w:r>
      <w:r w:rsidR="00812074">
        <w:br/>
      </w:r>
      <w:r w:rsidRPr="003A46CA">
        <w:t xml:space="preserve">z projektem szkoleniowym, takie jak koszty podróży, koszty zakwaterowania, materiały bezpośrednio związane z projektem, amortyzacja narzędzi i wyposażenia w zakresie, </w:t>
      </w:r>
      <w:r w:rsidR="00812074">
        <w:br/>
      </w:r>
      <w:r w:rsidRPr="003A46CA">
        <w:t>w jakim są wykorzystywane wyłącznie na potrzeby projektu szkoleniowego;</w:t>
      </w:r>
    </w:p>
    <w:p w14:paraId="28FF4704" w14:textId="70433AC7" w:rsidR="00DA1A28" w:rsidRPr="003A46CA" w:rsidRDefault="00DA1A28" w:rsidP="00FC6AA4">
      <w:pPr>
        <w:pStyle w:val="Akapitzlist"/>
        <w:numPr>
          <w:ilvl w:val="0"/>
          <w:numId w:val="24"/>
        </w:numPr>
        <w:autoSpaceDE w:val="0"/>
        <w:autoSpaceDN w:val="0"/>
        <w:adjustRightInd w:val="0"/>
        <w:spacing w:before="120" w:line="360" w:lineRule="auto"/>
        <w:jc w:val="both"/>
      </w:pPr>
      <w:r w:rsidRPr="003A46CA">
        <w:t>koszty usług doradczych związanych z projektem szkoleniowym;</w:t>
      </w:r>
    </w:p>
    <w:p w14:paraId="645436B9" w14:textId="75997212" w:rsidR="00DA1A28" w:rsidRPr="003A46CA" w:rsidRDefault="00DA1A28" w:rsidP="00FC6AA4">
      <w:pPr>
        <w:pStyle w:val="Akapitzlist"/>
        <w:numPr>
          <w:ilvl w:val="0"/>
          <w:numId w:val="24"/>
        </w:numPr>
        <w:autoSpaceDE w:val="0"/>
        <w:autoSpaceDN w:val="0"/>
        <w:adjustRightInd w:val="0"/>
        <w:spacing w:before="120" w:line="360" w:lineRule="auto"/>
        <w:jc w:val="both"/>
      </w:pPr>
      <w:r w:rsidRPr="003A46CA">
        <w:t xml:space="preserve">koszty personelu osób szkolonych i ogólne koszty pośrednie (koszty administracyjne, wynajem, koszty ogólne) poniesione za godziny, podczas których osoby szkolone biorą udział w szkoleniu. </w:t>
      </w:r>
    </w:p>
    <w:p w14:paraId="0DC441FC" w14:textId="4DB44DE1" w:rsidR="00DA1A28" w:rsidRPr="003A46CA" w:rsidRDefault="00DA1A28" w:rsidP="00DA1A28">
      <w:pPr>
        <w:autoSpaceDE w:val="0"/>
        <w:autoSpaceDN w:val="0"/>
        <w:adjustRightInd w:val="0"/>
        <w:spacing w:before="120" w:line="360" w:lineRule="auto"/>
        <w:jc w:val="both"/>
      </w:pPr>
      <w:r w:rsidRPr="003A46CA">
        <w:t xml:space="preserve">W § </w:t>
      </w:r>
      <w:r w:rsidR="00BA1A40" w:rsidRPr="003A46CA">
        <w:t>3</w:t>
      </w:r>
      <w:r w:rsidR="00317808">
        <w:t>3</w:t>
      </w:r>
      <w:r w:rsidRPr="003A46CA">
        <w:t xml:space="preserve"> pkt 1 określono, poprzez odesłanie do art. 31 ust. 4 zdanie pierwsze rozporządzenia nr 651/2014, maksymalną intensywność pomocy szkoleniowej – wynosi ona 50% kosztów kwalifikowalnych. W § </w:t>
      </w:r>
      <w:r w:rsidR="00BA1A40" w:rsidRPr="003A46CA">
        <w:t>3</w:t>
      </w:r>
      <w:r w:rsidR="00317808">
        <w:t>3</w:t>
      </w:r>
      <w:r w:rsidRPr="003A46CA">
        <w:t xml:space="preserve"> pkt 2 dopuszczono możliwość zwiększenia intensywności, </w:t>
      </w:r>
      <w:r w:rsidR="00812074">
        <w:br/>
      </w:r>
      <w:r w:rsidRPr="003A46CA">
        <w:t>pod warunkiem spełnienia dodatkowych wymogów. Intensywność pomocy można zwiększyć maksymalnie do 70% kosztów kwalifikowalnych w następujący sposób:</w:t>
      </w:r>
    </w:p>
    <w:p w14:paraId="3D240DCE" w14:textId="768D067A" w:rsidR="00DA1A28" w:rsidRPr="003A46CA" w:rsidRDefault="00DA1A28" w:rsidP="00FC6AA4">
      <w:pPr>
        <w:pStyle w:val="Akapitzlist"/>
        <w:numPr>
          <w:ilvl w:val="0"/>
          <w:numId w:val="26"/>
        </w:numPr>
        <w:autoSpaceDE w:val="0"/>
        <w:autoSpaceDN w:val="0"/>
        <w:adjustRightInd w:val="0"/>
        <w:spacing w:before="120" w:line="360" w:lineRule="auto"/>
        <w:jc w:val="both"/>
      </w:pPr>
      <w:r w:rsidRPr="003A46CA">
        <w:t>intensywność pomocy zwiększ</w:t>
      </w:r>
      <w:r w:rsidR="008D50C5">
        <w:t>a</w:t>
      </w:r>
      <w:r w:rsidRPr="003A46CA">
        <w:t xml:space="preserve"> </w:t>
      </w:r>
      <w:r w:rsidR="008D50C5">
        <w:t xml:space="preserve">się </w:t>
      </w:r>
      <w:r w:rsidRPr="003A46CA">
        <w:t xml:space="preserve">o 10 punktów procentowych w przypadku szkoleń przeznaczonych dla pracowników niepełnosprawnych lub znajdujących się </w:t>
      </w:r>
      <w:r w:rsidR="00812074">
        <w:br/>
      </w:r>
      <w:r w:rsidRPr="003A46CA">
        <w:t>w szczególnie niekorzystnej sytuacji; zgodnie z art. 2 pkt 4 rozporządzenia nr 651/2014 przez pracownika znajdującego się w szczególnie niekorzystnej sytuacji rozumie się m.in. osobę, która:</w:t>
      </w:r>
    </w:p>
    <w:p w14:paraId="2B326696" w14:textId="474EAAD8" w:rsidR="00DA1A28" w:rsidRPr="003A46CA" w:rsidRDefault="00DA1A28" w:rsidP="00FC6AA4">
      <w:pPr>
        <w:pStyle w:val="Akapitzlist"/>
        <w:numPr>
          <w:ilvl w:val="0"/>
          <w:numId w:val="36"/>
        </w:numPr>
        <w:autoSpaceDE w:val="0"/>
        <w:autoSpaceDN w:val="0"/>
        <w:adjustRightInd w:val="0"/>
        <w:spacing w:before="120" w:line="360" w:lineRule="auto"/>
        <w:jc w:val="both"/>
      </w:pPr>
      <w:r w:rsidRPr="003A46CA">
        <w:lastRenderedPageBreak/>
        <w:t>jest bez stałego zatrudnienia za wynagrodzeniem w okresie ostatnich 6 miesięcy; lub</w:t>
      </w:r>
    </w:p>
    <w:p w14:paraId="47965EA9" w14:textId="6658B011" w:rsidR="00DA1A28" w:rsidRPr="003A46CA" w:rsidRDefault="00DA1A28" w:rsidP="00FC6AA4">
      <w:pPr>
        <w:pStyle w:val="Akapitzlist"/>
        <w:numPr>
          <w:ilvl w:val="0"/>
          <w:numId w:val="36"/>
        </w:numPr>
        <w:autoSpaceDE w:val="0"/>
        <w:autoSpaceDN w:val="0"/>
        <w:adjustRightInd w:val="0"/>
        <w:spacing w:before="120" w:line="360" w:lineRule="auto"/>
        <w:jc w:val="both"/>
      </w:pPr>
      <w:r w:rsidRPr="003A46CA">
        <w:t>jest w wieku od 15 do 24 lat; lub</w:t>
      </w:r>
    </w:p>
    <w:p w14:paraId="6EBA4EE3" w14:textId="5A2775BB" w:rsidR="00DA1A28" w:rsidRPr="003A46CA" w:rsidRDefault="00DA1A28" w:rsidP="00FC6AA4">
      <w:pPr>
        <w:pStyle w:val="Akapitzlist"/>
        <w:numPr>
          <w:ilvl w:val="0"/>
          <w:numId w:val="36"/>
        </w:numPr>
        <w:autoSpaceDE w:val="0"/>
        <w:autoSpaceDN w:val="0"/>
        <w:adjustRightInd w:val="0"/>
        <w:spacing w:before="120" w:line="360" w:lineRule="auto"/>
        <w:jc w:val="both"/>
      </w:pPr>
      <w:r w:rsidRPr="003A46CA">
        <w:t>nie posiada wykształcenia ponadgimnazjalnego lub zawodowego lub nie minęły więcej niż dwa lata od momentu ukończenia przez nią edukacji w pełnym wymiarze i która nie znalazła do tej pory pierwszego stałego zatrudnienia za wynagrodzeniem; lub</w:t>
      </w:r>
    </w:p>
    <w:p w14:paraId="7C713DF7" w14:textId="7E8659A0" w:rsidR="00DA1A28" w:rsidRPr="003A46CA" w:rsidRDefault="00DA1A28" w:rsidP="00FC6AA4">
      <w:pPr>
        <w:pStyle w:val="Akapitzlist"/>
        <w:numPr>
          <w:ilvl w:val="0"/>
          <w:numId w:val="36"/>
        </w:numPr>
        <w:autoSpaceDE w:val="0"/>
        <w:autoSpaceDN w:val="0"/>
        <w:adjustRightInd w:val="0"/>
        <w:spacing w:before="120" w:line="360" w:lineRule="auto"/>
        <w:jc w:val="both"/>
      </w:pPr>
      <w:r w:rsidRPr="003A46CA">
        <w:t>jest w wieku ponad 50 lat; lub</w:t>
      </w:r>
    </w:p>
    <w:p w14:paraId="1F633554" w14:textId="0B6A162E" w:rsidR="00DA1A28" w:rsidRPr="003A46CA" w:rsidRDefault="00DA1A28" w:rsidP="00FC6AA4">
      <w:pPr>
        <w:pStyle w:val="Akapitzlist"/>
        <w:numPr>
          <w:ilvl w:val="0"/>
          <w:numId w:val="36"/>
        </w:numPr>
        <w:autoSpaceDE w:val="0"/>
        <w:autoSpaceDN w:val="0"/>
        <w:adjustRightInd w:val="0"/>
        <w:spacing w:before="120" w:line="360" w:lineRule="auto"/>
        <w:jc w:val="both"/>
      </w:pPr>
      <w:r w:rsidRPr="003A46CA">
        <w:t>jest osobą dorosłą mieszkającą samotnie, mającą na utrzymaniu co najmniej jedną osobę; lub</w:t>
      </w:r>
    </w:p>
    <w:p w14:paraId="3C019016" w14:textId="6474C04B" w:rsidR="00DA1A28" w:rsidRPr="003A46CA" w:rsidRDefault="00DA1A28" w:rsidP="00FC6AA4">
      <w:pPr>
        <w:pStyle w:val="Akapitzlist"/>
        <w:numPr>
          <w:ilvl w:val="0"/>
          <w:numId w:val="36"/>
        </w:numPr>
        <w:autoSpaceDE w:val="0"/>
        <w:autoSpaceDN w:val="0"/>
        <w:adjustRightInd w:val="0"/>
        <w:spacing w:before="120" w:line="360" w:lineRule="auto"/>
        <w:jc w:val="both"/>
      </w:pPr>
      <w:r w:rsidRPr="003A46CA">
        <w:t>pracuje w sektorze lub zawodzie w państwie członkowskim, w którym dysproporcja kobiet i mężczyzn jest co najmniej o 25% większa niż średnia dysproporcja we wszystkich sektorach gospodarki w tym państwie członkowskim i należy do grupy stanowiącej mniejszość;</w:t>
      </w:r>
    </w:p>
    <w:p w14:paraId="23017B27" w14:textId="13879E41" w:rsidR="00DA1A28" w:rsidRPr="003A46CA" w:rsidRDefault="00DA1A28" w:rsidP="00FC6AA4">
      <w:pPr>
        <w:pStyle w:val="Akapitzlist"/>
        <w:numPr>
          <w:ilvl w:val="0"/>
          <w:numId w:val="26"/>
        </w:numPr>
        <w:autoSpaceDE w:val="0"/>
        <w:autoSpaceDN w:val="0"/>
        <w:adjustRightInd w:val="0"/>
        <w:spacing w:before="120" w:line="360" w:lineRule="auto"/>
        <w:jc w:val="both"/>
      </w:pPr>
      <w:r w:rsidRPr="003A46CA">
        <w:t>o 10 punktów procentowych w przypadku pomocy na rzecz średniego przedsiębiorstwa i o 20 punktów procentowych w przypadku pomocy na rzecz małego przedsiębiorstwa</w:t>
      </w:r>
      <w:r w:rsidR="007B3B88" w:rsidRPr="003A46CA">
        <w:t>;</w:t>
      </w:r>
    </w:p>
    <w:p w14:paraId="5ABCA663" w14:textId="338A7937" w:rsidR="00DA1A28" w:rsidRPr="003A46CA" w:rsidRDefault="007B3B88" w:rsidP="00FC6AA4">
      <w:pPr>
        <w:pStyle w:val="Akapitzlist"/>
        <w:numPr>
          <w:ilvl w:val="0"/>
          <w:numId w:val="26"/>
        </w:numPr>
        <w:autoSpaceDE w:val="0"/>
        <w:autoSpaceDN w:val="0"/>
        <w:adjustRightInd w:val="0"/>
        <w:spacing w:before="120" w:line="360" w:lineRule="auto"/>
        <w:jc w:val="both"/>
      </w:pPr>
      <w:r w:rsidRPr="003A46CA">
        <w:t>w</w:t>
      </w:r>
      <w:r w:rsidR="00DA1A28" w:rsidRPr="003A46CA">
        <w:t xml:space="preserve"> przypadku pomocy przyznawanej w sektorze transportu morskiego jej intensywność może zostać zwiększona do 100% kosztów kwalifikowalnych, jeżeli uczestnicy szkolenia nie są aktywnymi członkami załogi, lecz dodatkowymi członkami załogi oraz szkolenie jest prowadzone na pokładzie statków zarejestrowanych w rejestrach unijnych.</w:t>
      </w:r>
    </w:p>
    <w:p w14:paraId="0D6940A3" w14:textId="1B3E7D58" w:rsidR="0056052A" w:rsidRPr="003A46CA" w:rsidRDefault="009A39CA" w:rsidP="003D4520">
      <w:pPr>
        <w:autoSpaceDE w:val="0"/>
        <w:autoSpaceDN w:val="0"/>
        <w:adjustRightInd w:val="0"/>
        <w:spacing w:before="120" w:line="360" w:lineRule="auto"/>
        <w:jc w:val="both"/>
      </w:pPr>
      <w:r w:rsidRPr="003A46CA">
        <w:t xml:space="preserve">§ </w:t>
      </w:r>
      <w:r w:rsidR="007D6DC4" w:rsidRPr="003A46CA">
        <w:t>3</w:t>
      </w:r>
      <w:r w:rsidR="00317808">
        <w:t>4</w:t>
      </w:r>
      <w:r w:rsidR="00E03F7C" w:rsidRPr="003A46CA">
        <w:t xml:space="preserve"> </w:t>
      </w:r>
      <w:r w:rsidR="00AD0B64" w:rsidRPr="003A46CA">
        <w:t>wskazuje, że w ramach rozporządzenia nie będzie udzielna pomoc szkoleniowa na</w:t>
      </w:r>
      <w:r w:rsidR="00E03F7C" w:rsidRPr="003A46CA">
        <w:t xml:space="preserve"> </w:t>
      </w:r>
      <w:r w:rsidR="00AD0B64" w:rsidRPr="003A46CA">
        <w:t>projekty o dużych rozmiarach i znaczącej wartości pomocy przyznanej na ich wsparcie, tj. powyżej limitów określonych w art. 4 ust. 1 lit. n</w:t>
      </w:r>
      <w:r w:rsidR="00E03F7C" w:rsidRPr="003A46CA">
        <w:t xml:space="preserve"> </w:t>
      </w:r>
      <w:r w:rsidR="00AD0B64" w:rsidRPr="003A46CA">
        <w:t xml:space="preserve">rozporządzenia nr 651/2014. </w:t>
      </w:r>
    </w:p>
    <w:p w14:paraId="44991735" w14:textId="475B58BC" w:rsidR="00F006FA" w:rsidRPr="003A46CA" w:rsidRDefault="00F006FA" w:rsidP="003D4520">
      <w:pPr>
        <w:autoSpaceDE w:val="0"/>
        <w:autoSpaceDN w:val="0"/>
        <w:adjustRightInd w:val="0"/>
        <w:spacing w:before="120" w:line="360" w:lineRule="auto"/>
        <w:jc w:val="both"/>
      </w:pPr>
      <w:r w:rsidRPr="003A46CA">
        <w:t xml:space="preserve">W § </w:t>
      </w:r>
      <w:r w:rsidR="007D6DC4" w:rsidRPr="003A46CA">
        <w:t>3</w:t>
      </w:r>
      <w:r w:rsidR="00317808">
        <w:t>5</w:t>
      </w:r>
      <w:r w:rsidR="0056052A" w:rsidRPr="003A46CA">
        <w:t xml:space="preserve"> ust. 1</w:t>
      </w:r>
      <w:r w:rsidR="00E03F7C" w:rsidRPr="003A46CA">
        <w:t xml:space="preserve"> </w:t>
      </w:r>
      <w:r w:rsidRPr="003A46CA">
        <w:t>uregulowano szczegółowe przeznaczenie, warunki i tryb udzielania regionalnej pomocy inwestycyjnej</w:t>
      </w:r>
      <w:r w:rsidR="000A7D68" w:rsidRPr="003A46CA">
        <w:t xml:space="preserve">, o której mowa w </w:t>
      </w:r>
      <w:r w:rsidRPr="003A46CA">
        <w:t>art. 14 rozporządzenia nr 651/2014</w:t>
      </w:r>
      <w:r w:rsidR="00657C90" w:rsidRPr="003A46CA">
        <w:t>. Druga część przepisu wskazuje na przeznaczenie udzielanej pomocy, zgodnie z którym wspierane mogą być tylko projekty spełniające definicję inwestycji początkowej w rozumieniu art. 2 pkt 49 rozporządzenia nr 651/2014.</w:t>
      </w:r>
    </w:p>
    <w:p w14:paraId="033E0E2D" w14:textId="1667EDE1" w:rsidR="00DE7455" w:rsidRPr="003A46CA" w:rsidRDefault="00DE7455" w:rsidP="00DE7455">
      <w:pPr>
        <w:autoSpaceDE w:val="0"/>
        <w:autoSpaceDN w:val="0"/>
        <w:adjustRightInd w:val="0"/>
        <w:spacing w:before="120" w:line="360" w:lineRule="auto"/>
        <w:jc w:val="both"/>
      </w:pPr>
      <w:r w:rsidRPr="003A46CA">
        <w:t xml:space="preserve">§ </w:t>
      </w:r>
      <w:r w:rsidR="00F5772E" w:rsidRPr="003A46CA">
        <w:t>3</w:t>
      </w:r>
      <w:r w:rsidR="00317808">
        <w:t>5</w:t>
      </w:r>
      <w:r w:rsidRPr="003A46CA">
        <w:t xml:space="preserve"> ust. 2 projektowanego rozporządzenia określa szczególną sytuację, w której regionalna pomoc inwestycyjna udzielana jest na inwestycję początkową w przypadku dużego przedsiębiorcy w województwach: dolnośląskim i wielkopolskim oraz na obszarach regionu warszawskiego stołecznego należących do gmin: Baranów, Błonie, Dąbrówka, Dobre, </w:t>
      </w:r>
      <w:r w:rsidR="00266450">
        <w:br/>
      </w:r>
      <w:r w:rsidRPr="003A46CA">
        <w:lastRenderedPageBreak/>
        <w:t xml:space="preserve">Góra Kalwaria, Grodzisk Mazowiecki, Jadów, Jaktorów, Kałuszyn, Kampinos, Kołbiel, Latowicz, Leoncin, Leszno, Mrozy, Nasielsk, Osieck, Prażmów, Serock, Siennica, </w:t>
      </w:r>
      <w:r w:rsidR="00266450">
        <w:br/>
      </w:r>
      <w:r w:rsidRPr="003A46CA">
        <w:t xml:space="preserve">Sobienie-Jeziory, Strachówka, Tarczyn, Tłuszcz, Zakroczym i Żabia Wola – wyłącznie </w:t>
      </w:r>
      <w:r w:rsidR="00266450">
        <w:br/>
      </w:r>
      <w:r w:rsidRPr="003A46CA">
        <w:t>na inwestycję początkową na rzecz nowej działalności gospodarczej. Zgodnie z treścią definicji zawartych w art. 2 pkt 49 i art. 2 pkt 51 rozporządzenia nr 651/2014 oraz na podstawie przepisów art. 14 ust. 3 rozporządzenia nr 651/2014, inwestycja początkowa na rzecz nowej działalności gospodarczej jest szczególnym rodzajem inwestycji początkowej, związanym</w:t>
      </w:r>
      <w:r w:rsidR="00266450">
        <w:br/>
      </w:r>
      <w:r w:rsidRPr="003A46CA">
        <w:t xml:space="preserve"> z dodatkowymi warunkami, które muszą być spełnione w przypadku pomocy udzielanej dużemu przedsiębiorcy w regionie kwalifikującym się do pomocy regionalnej na podstawie art. 107 ust. 3 lit. c TFUE</w:t>
      </w:r>
      <w:r w:rsidR="00E03F7C" w:rsidRPr="003A46CA">
        <w:t xml:space="preserve"> </w:t>
      </w:r>
      <w:r w:rsidRPr="003A46CA">
        <w:t>(tzw. obszary „c”). W przypadku pomocy udzielanej na obszarach, które spełniają warunki określone w art. 107 ust. 3 lit. a TFUE</w:t>
      </w:r>
      <w:r w:rsidR="00E03F7C" w:rsidRPr="003A46CA">
        <w:t xml:space="preserve"> </w:t>
      </w:r>
      <w:r w:rsidRPr="003A46CA">
        <w:t>(tzw. obszary „a”), pomoc regionalna może być przyznana na dowolną formę inwestycji początkowej, niezależnie od wielkości przedsiębiorstwa.</w:t>
      </w:r>
    </w:p>
    <w:p w14:paraId="33A8460C" w14:textId="2C1D9274" w:rsidR="00DE7455" w:rsidRPr="003A46CA" w:rsidRDefault="00DE7455" w:rsidP="00DE7455">
      <w:pPr>
        <w:autoSpaceDE w:val="0"/>
        <w:autoSpaceDN w:val="0"/>
        <w:adjustRightInd w:val="0"/>
        <w:spacing w:before="120" w:line="360" w:lineRule="auto"/>
        <w:jc w:val="both"/>
      </w:pPr>
      <w:r w:rsidRPr="003A46CA">
        <w:t xml:space="preserve">KE dokonała kwalifikacji regionów do poszczególnych obszarów „a” lub „c” w Wytycznych w sprawie regionalnej pomocy państwa (Dz. Urz. UE C 153 z 29.04.2021, str. 1) na podstawie wielkości PKB na mieszkańca, w oparciu o dane Eurostatu za lata 2016-2018. Województwo dolnośląskie i wielkopolskie oraz wymienione w § </w:t>
      </w:r>
      <w:r w:rsidR="00317808">
        <w:t>35</w:t>
      </w:r>
      <w:r w:rsidR="000A7D68" w:rsidRPr="003A46CA">
        <w:t xml:space="preserve"> ust. 2</w:t>
      </w:r>
      <w:r w:rsidRPr="003A46CA">
        <w:t xml:space="preserve"> projektowanego rozporządzenia gminy z obszaru regionu warszawskiego stołecznego, z uwagi na fakt, iż PKB na mieszkańca wynosi w nich powyżej 75% średniej dla UE-27, kwalifikują się do wsparcia jako obszary „c” w ramach art. 107 ust. 3 lit. (c) TFUE. Pozostałe 13 województw Polski (kujawsko-pomorskie, lubelskie, lubuskie, łódzkie, małopolskie, opolskie, podlaskie, podkarpackie, śląskie, świętokrzyskie, warmińsko-mazurskie, wielkopolskie oraz zachodniopomorskie) oraz region mazowiecki regionalny, kwalifikują się do wsparcia jako obszary „a” na podstawie art. 107 </w:t>
      </w:r>
      <w:r w:rsidR="00266450">
        <w:br/>
      </w:r>
      <w:r w:rsidRPr="003A46CA">
        <w:t xml:space="preserve">ust. 3 lit (a) TFUE. W związku z nowym podziałem statystycznym obowiązującym od dnia </w:t>
      </w:r>
      <w:r w:rsidR="00266450">
        <w:br/>
      </w:r>
      <w:r w:rsidRPr="003A46CA">
        <w:t>1 stycznia</w:t>
      </w:r>
      <w:r w:rsidR="00E03F7C" w:rsidRPr="003A46CA">
        <w:t xml:space="preserve"> </w:t>
      </w:r>
      <w:r w:rsidRPr="003A46CA">
        <w:t>2018 r., w ramach województwa mazowieckiego zostały wyodrębnione dwie jednostki statystyczne (NUTS 2), tj. region mazowiecki regionalny oraz region warszawski stołeczny. W latach 2022-2027 (na podstawie mapy pomocy regionalnej na lata 2022-2027</w:t>
      </w:r>
      <w:r w:rsidR="00E03F7C" w:rsidRPr="003A46CA">
        <w:t xml:space="preserve"> </w:t>
      </w:r>
      <w:r w:rsidRPr="003A46CA">
        <w:t xml:space="preserve">przyjętej na podstawie Wytycznych w sprawie regionalnej pomocy państwa), region mazowiecki regionalny zostanie w całości objęty możliwością ubiegania się o pomoc regionalną jako obszar „a”, natomiast w przypadku regionu warszawskiego stołecznego wsparcie w ramach regionalnej pomocy inwestycyjnej będzie dozwolone jedynie w wybranych gminach z podregionu warszawskiego wschodniego i warszawskiego zachodniego (we wszystkich gminach graniczących z regionem mazowieckim regionalnym) jako wsparcie </w:t>
      </w:r>
      <w:r w:rsidRPr="003A46CA">
        <w:lastRenderedPageBreak/>
        <w:t>udzielane na nieokreślone z góry obszary „c”. Pozostała część gmin z tych podregionów, jak również podregion Miasto Stołeczne Warszawa, w latach 2022-2027 zostanie całkowicie wykluczona z możliwości ubiegania się o wsparcie stanowiące pomoc regionalną.</w:t>
      </w:r>
    </w:p>
    <w:p w14:paraId="18AA1F3F" w14:textId="05882B16" w:rsidR="00DE7455" w:rsidRPr="003A46CA" w:rsidRDefault="00F5772E" w:rsidP="00DE7455">
      <w:pPr>
        <w:autoSpaceDE w:val="0"/>
        <w:autoSpaceDN w:val="0"/>
        <w:adjustRightInd w:val="0"/>
        <w:spacing w:before="120" w:line="360" w:lineRule="auto"/>
        <w:jc w:val="both"/>
      </w:pPr>
      <w:r w:rsidRPr="003A46CA">
        <w:t>W</w:t>
      </w:r>
      <w:r w:rsidR="00DE7455" w:rsidRPr="003A46CA">
        <w:t xml:space="preserve"> § </w:t>
      </w:r>
      <w:r w:rsidRPr="003A46CA">
        <w:t>3</w:t>
      </w:r>
      <w:r w:rsidR="00317808">
        <w:t>5</w:t>
      </w:r>
      <w:r w:rsidR="00DE7455" w:rsidRPr="003A46CA">
        <w:t xml:space="preserve"> ust. </w:t>
      </w:r>
      <w:r w:rsidRPr="003A46CA">
        <w:t>3</w:t>
      </w:r>
      <w:r w:rsidR="00DE7455" w:rsidRPr="003A46CA">
        <w:t xml:space="preserve"> wskazano na warunek związany z koniecznością utrzymania inwestycji</w:t>
      </w:r>
      <w:r w:rsidR="00E03F7C" w:rsidRPr="003A46CA">
        <w:t xml:space="preserve"> </w:t>
      </w:r>
      <w:r w:rsidR="00266450">
        <w:br/>
      </w:r>
      <w:r w:rsidR="00DE7455" w:rsidRPr="003A46CA">
        <w:t xml:space="preserve">w regionie, na zasadach określonych w art. 14 ust. 5 rozporządzenia nr 651/2014. Warunek ten polega na utrzymaniu wspieranej inwestycji w danym regionie: w przypadku dużych przedsiębiorstw </w:t>
      </w:r>
      <w:r w:rsidR="0082482B" w:rsidRPr="003A46CA">
        <w:t>–</w:t>
      </w:r>
      <w:r w:rsidR="00DE7455" w:rsidRPr="003A46CA">
        <w:t xml:space="preserve"> przez co najmniej 5 lat od daty zakończenia jej realizacji, a w przypadku MŚP przez co najmniej 3 lata.</w:t>
      </w:r>
    </w:p>
    <w:p w14:paraId="291056FC" w14:textId="1C0BBF0C" w:rsidR="00DE7455" w:rsidRPr="003A46CA" w:rsidRDefault="00DE7455" w:rsidP="00DE7455">
      <w:pPr>
        <w:autoSpaceDE w:val="0"/>
        <w:autoSpaceDN w:val="0"/>
        <w:adjustRightInd w:val="0"/>
        <w:spacing w:before="120" w:line="360" w:lineRule="auto"/>
        <w:jc w:val="both"/>
      </w:pPr>
      <w:r w:rsidRPr="003A46CA">
        <w:t xml:space="preserve">W ust. </w:t>
      </w:r>
      <w:r w:rsidR="00F5772E" w:rsidRPr="003A46CA">
        <w:t>4</w:t>
      </w:r>
      <w:r w:rsidRPr="003A46CA">
        <w:t xml:space="preserve"> wskazano, że pomoc może zostać udzielona po spełnieniu warunku, o którym mowa w art. 14 ust. 16 rozporządzenia 651/2014, zgodnie z którym beneficjent potwierdza, że nie dokonał przeniesienia do zakładu, w którym ma zostać dokonana inwestycja początkowa, której dotyczy wniosek o pomoc, w ciągu dwóch lat poprzedzających złożenie wniosku o pomoc, oraz zobowiązuje się, że nie dokona takiego przeniesienia przez okres dwóch lat od zakończenia inwestycji początkowej, której dotyczy wniosek o pomoc.</w:t>
      </w:r>
    </w:p>
    <w:p w14:paraId="685FF48F" w14:textId="53E98E48" w:rsidR="00867937" w:rsidRPr="003A46CA" w:rsidRDefault="00867937" w:rsidP="00867937">
      <w:pPr>
        <w:autoSpaceDE w:val="0"/>
        <w:autoSpaceDN w:val="0"/>
        <w:adjustRightInd w:val="0"/>
        <w:spacing w:before="120" w:line="360" w:lineRule="auto"/>
        <w:jc w:val="both"/>
      </w:pPr>
      <w:r w:rsidRPr="003A46CA">
        <w:t xml:space="preserve">W § </w:t>
      </w:r>
      <w:r w:rsidR="00F5772E" w:rsidRPr="003A46CA">
        <w:t>3</w:t>
      </w:r>
      <w:r w:rsidR="00317808">
        <w:t>5</w:t>
      </w:r>
      <w:r w:rsidRPr="003A46CA">
        <w:t xml:space="preserve"> ust. </w:t>
      </w:r>
      <w:r w:rsidR="00F5772E" w:rsidRPr="003A46CA">
        <w:t>5</w:t>
      </w:r>
      <w:r w:rsidRPr="003A46CA">
        <w:t xml:space="preserve"> wskazano, że regionalna pomoc inwestycyjna jest udzielana w odniesieniu </w:t>
      </w:r>
      <w:r w:rsidR="00266450">
        <w:br/>
      </w:r>
      <w:r w:rsidRPr="003A46CA">
        <w:t>do kosztów inwestycyjnych lub kosztów związanych z tworzeniem miejsc pracy, zgodnie z art. 14 ust. 4 rozporządzenia nr 651/2014, co oznacza, że dopuszcza się trzy sposoby określania kosztów kwalifikowalnych:</w:t>
      </w:r>
    </w:p>
    <w:p w14:paraId="443603FD" w14:textId="3934BC53" w:rsidR="00867937" w:rsidRPr="003A46CA" w:rsidRDefault="00867937" w:rsidP="00FC6AA4">
      <w:pPr>
        <w:pStyle w:val="Akapitzlist"/>
        <w:numPr>
          <w:ilvl w:val="0"/>
          <w:numId w:val="28"/>
        </w:numPr>
        <w:autoSpaceDE w:val="0"/>
        <w:autoSpaceDN w:val="0"/>
        <w:adjustRightInd w:val="0"/>
        <w:spacing w:before="120" w:line="360" w:lineRule="auto"/>
        <w:jc w:val="both"/>
      </w:pPr>
      <w:r w:rsidRPr="003A46CA">
        <w:t xml:space="preserve">w odniesieniu do kosztów inwestycyjnych; </w:t>
      </w:r>
    </w:p>
    <w:p w14:paraId="6743EC48" w14:textId="0C6F67A1" w:rsidR="00867937" w:rsidRPr="003A46CA" w:rsidRDefault="00867937" w:rsidP="00FC6AA4">
      <w:pPr>
        <w:pStyle w:val="Akapitzlist"/>
        <w:numPr>
          <w:ilvl w:val="0"/>
          <w:numId w:val="28"/>
        </w:numPr>
        <w:autoSpaceDE w:val="0"/>
        <w:autoSpaceDN w:val="0"/>
        <w:adjustRightInd w:val="0"/>
        <w:spacing w:before="120" w:line="360" w:lineRule="auto"/>
        <w:jc w:val="both"/>
      </w:pPr>
      <w:r w:rsidRPr="003A46CA">
        <w:t xml:space="preserve">w odniesieniu do kosztów, wynikających z utworzenia miejsc pracy, dzięki realizacji inwestycji, lub </w:t>
      </w:r>
    </w:p>
    <w:p w14:paraId="33CC6B29" w14:textId="3F39CEA1" w:rsidR="00867937" w:rsidRPr="003A46CA" w:rsidRDefault="00867937" w:rsidP="00FC6AA4">
      <w:pPr>
        <w:pStyle w:val="Akapitzlist"/>
        <w:numPr>
          <w:ilvl w:val="0"/>
          <w:numId w:val="28"/>
        </w:numPr>
        <w:autoSpaceDE w:val="0"/>
        <w:autoSpaceDN w:val="0"/>
        <w:adjustRightInd w:val="0"/>
        <w:spacing w:before="120" w:line="360" w:lineRule="auto"/>
        <w:jc w:val="both"/>
      </w:pPr>
      <w:r w:rsidRPr="003A46CA">
        <w:t xml:space="preserve">poprzez uwzględnienie obu powyższych kategorii. </w:t>
      </w:r>
    </w:p>
    <w:p w14:paraId="4437D80A" w14:textId="71E1678A" w:rsidR="00867937" w:rsidRPr="003A46CA" w:rsidRDefault="00867937" w:rsidP="00867937">
      <w:pPr>
        <w:autoSpaceDE w:val="0"/>
        <w:autoSpaceDN w:val="0"/>
        <w:adjustRightInd w:val="0"/>
        <w:spacing w:before="120" w:line="360" w:lineRule="auto"/>
        <w:jc w:val="both"/>
      </w:pPr>
      <w:r w:rsidRPr="003A46CA">
        <w:t xml:space="preserve">Wybór sposobu określania kosztów stanowiących podstawę obliczania pomocy należy </w:t>
      </w:r>
      <w:r w:rsidR="00266450">
        <w:br/>
      </w:r>
      <w:r w:rsidRPr="003A46CA">
        <w:t>do przedsiębiorcy, który może wybrać preferowaną przez siebie formę.</w:t>
      </w:r>
    </w:p>
    <w:p w14:paraId="2D67D0CD" w14:textId="42044F33" w:rsidR="00867937" w:rsidRPr="003A46CA" w:rsidRDefault="00867937" w:rsidP="00867937">
      <w:pPr>
        <w:autoSpaceDE w:val="0"/>
        <w:autoSpaceDN w:val="0"/>
        <w:adjustRightInd w:val="0"/>
        <w:spacing w:before="120" w:line="360" w:lineRule="auto"/>
        <w:jc w:val="both"/>
      </w:pPr>
      <w:r w:rsidRPr="003A46CA">
        <w:t xml:space="preserve">§ </w:t>
      </w:r>
      <w:r w:rsidR="00F5772E" w:rsidRPr="003A46CA">
        <w:t>3</w:t>
      </w:r>
      <w:r w:rsidR="00317808">
        <w:t>6</w:t>
      </w:r>
      <w:r w:rsidR="00F5772E" w:rsidRPr="003A46CA">
        <w:t xml:space="preserve"> ust. 1</w:t>
      </w:r>
      <w:r w:rsidRPr="003A46CA">
        <w:t xml:space="preserve"> określa maksymalną intensywność regionalnej pomocy inwestycyjnej poprzez odesłanie w swojej treści do przepisów rozporządzenia Rady Ministrów z dnia 14 grudnia 2021 r. w sprawie ustalenia mapy pomocy regionalnej na lata 2022-2027 (Dz. U. poz. 2422), wydanych na podstawie art. 10 ust. 2 ustawy z dnia 30 kwietnia 2004 r. o postępowaniu </w:t>
      </w:r>
      <w:r w:rsidR="00266450">
        <w:br/>
      </w:r>
      <w:r w:rsidRPr="003A46CA">
        <w:t xml:space="preserve">w sprawach dotyczących pomocy publicznej, z uwagi na fakt, iż pomoc regionalna może być udzielana jedynie na warunkach wynikających z mapy pomocy regionalnej. W art. 2 pkt 26 rozporządzenia nr 651/2014 intensywność pomocy zdefiniowano jako kwotę pomocy brutto wyrażoną jako odsetek kosztów kwalifikowalnych, przed potrąceniem podatku lub innych </w:t>
      </w:r>
      <w:r w:rsidRPr="003A46CA">
        <w:lastRenderedPageBreak/>
        <w:t>opłat. Oblicza się ją w odniesieniu do kwalifikowalnych kosztów inwestycji lub kosztów zatrudnienia zadeklarowanych przez beneficjenta w momencie ubiegania się o pomoc. Intensywność pomocy regionalnej wyrażana jest jako ekwiwalent dotacji brutto (EDB) i jest uzależniona od stopnia zamożności regionu, określanego za pomocą PKB przypadającego na jednego mieszkańca.</w:t>
      </w:r>
    </w:p>
    <w:p w14:paraId="02C201CC" w14:textId="76F255E4" w:rsidR="00867937" w:rsidRPr="003A46CA" w:rsidRDefault="00867937" w:rsidP="00867937">
      <w:pPr>
        <w:autoSpaceDE w:val="0"/>
        <w:autoSpaceDN w:val="0"/>
        <w:adjustRightInd w:val="0"/>
        <w:spacing w:before="120" w:line="360" w:lineRule="auto"/>
        <w:jc w:val="both"/>
      </w:pPr>
      <w:r w:rsidRPr="003A46CA">
        <w:t xml:space="preserve">W Polsce, z uwagi na różnice w poziomie PKB pomiędzy poszczególnymi województwami, zgodnie z mapą pomocy regionalnej na lata 2022-2027, wyodrębniono 7 progów intensywności pomocy: 50% (na obszarach należących do województwa lubelskiego, podkarpackiego, podlaskiego, świętokrzyskiego, warmińsko-mazurskiego oraz podregionu siedleckiego), 40% (na obszarach należących do województwa kujawsko-pomorskiego, lubuskiego, łódzkiego, małopolskiego, opolskiego, zachodniopomorskiego oraz na obszarach należących do regionu mazowieckiego regionalnego, z wyjątkiem podregionu siedleckiego), 35% (na obszarach należących do gmin: Dąbrówka, Dobre, Jadów, Kałuszyn, Kołbiel, Latowicz, Mrozy, Osieck, Serock, Siennica, Sobienie-Jeziory, Strachówka i Tłuszcz), 30% (na obszarach należących do województwa pomorskiego i śląskiego), 25% (na obszarach należących do województw: dolnośląskiego i wielkopolskiego, z wyłączeniem obszarów należących do miast Poznania </w:t>
      </w:r>
      <w:r w:rsidR="00266450">
        <w:br/>
      </w:r>
      <w:r w:rsidRPr="003A46CA">
        <w:t xml:space="preserve">i Wrocławia oraz do podregionu poznańskiego oraz na obszarach należących do gmin: Baranów, Błonie, Góra Kalwaria, Grodzisk Mazowiecki, Jaktorów, Kampinos, Leoncin, Leszno, Nasielsk, Prażmów, Tarczyn, Zakroczym i Żabia Wola), 20% (w okresie od dnia </w:t>
      </w:r>
      <w:r w:rsidR="00266450">
        <w:br/>
      </w:r>
      <w:r w:rsidRPr="003A46CA">
        <w:t xml:space="preserve">1 stycznia 2022 r. do dnia 31 grudnia 2024 r. - na obszarach należących do miast Poznania </w:t>
      </w:r>
      <w:r w:rsidR="00266450">
        <w:br/>
      </w:r>
      <w:r w:rsidRPr="003A46CA">
        <w:t xml:space="preserve">i Wrocławia oraz do podregionu poznańskiego) oraz 15% (w okresie od dnia 1 stycznia 2025 r. do dnia 31 grudnia 2027 r. - na obszarach należących do miast Poznania i Wrocławia oraz </w:t>
      </w:r>
      <w:r w:rsidR="00266450">
        <w:br/>
      </w:r>
      <w:r w:rsidRPr="003A46CA">
        <w:t>do podregionu poznańskiego).</w:t>
      </w:r>
    </w:p>
    <w:p w14:paraId="67CBA0DC" w14:textId="541B3EF6" w:rsidR="00867937" w:rsidRPr="003A46CA" w:rsidRDefault="00867937" w:rsidP="00867937">
      <w:pPr>
        <w:autoSpaceDE w:val="0"/>
        <w:autoSpaceDN w:val="0"/>
        <w:adjustRightInd w:val="0"/>
        <w:spacing w:before="120" w:line="360" w:lineRule="auto"/>
        <w:jc w:val="both"/>
      </w:pPr>
      <w:r w:rsidRPr="003A46CA">
        <w:t xml:space="preserve">Maksymalną intensywność regionalnej pomocy inwestycyjnej w przypadku MŚP zwiększa się o tzw. premie (bonusy). Jeżeli pomoc udzielana jest mikroprzedsiębiorcy lub małemu przedsiębiorcy, bazową intensywność pomocy można podwyższyć o 20 pkt procentowych, </w:t>
      </w:r>
      <w:r w:rsidR="00266450">
        <w:br/>
      </w:r>
      <w:r w:rsidRPr="003A46CA">
        <w:t xml:space="preserve">z kolei w przypadku średniego przedsiębiorcy, może być ona zwiększona o 10 pkt procentowych. </w:t>
      </w:r>
    </w:p>
    <w:p w14:paraId="09E70925" w14:textId="344B5662" w:rsidR="00867937" w:rsidRPr="003A46CA" w:rsidRDefault="00867937" w:rsidP="00867937">
      <w:pPr>
        <w:autoSpaceDE w:val="0"/>
        <w:autoSpaceDN w:val="0"/>
        <w:adjustRightInd w:val="0"/>
        <w:spacing w:before="120" w:line="360" w:lineRule="auto"/>
        <w:jc w:val="both"/>
      </w:pPr>
      <w:r w:rsidRPr="003A46CA">
        <w:t xml:space="preserve">§ </w:t>
      </w:r>
      <w:r w:rsidR="00F5772E" w:rsidRPr="003A46CA">
        <w:t>3</w:t>
      </w:r>
      <w:r w:rsidR="00317808">
        <w:t>6</w:t>
      </w:r>
      <w:r w:rsidRPr="003A46CA">
        <w:t xml:space="preserve"> ust. 2 wskazuje zasady obliczania maksymalnej intensywności oraz wartości pomocy poprzez odwołanie do rozporządzenia nr 651/2014 w zakresie następujących przepisów:</w:t>
      </w:r>
    </w:p>
    <w:p w14:paraId="7F568629" w14:textId="21D088F8" w:rsidR="00867937" w:rsidRPr="003A46CA" w:rsidRDefault="00867937" w:rsidP="00FC6AA4">
      <w:pPr>
        <w:pStyle w:val="Akapitzlist"/>
        <w:numPr>
          <w:ilvl w:val="0"/>
          <w:numId w:val="29"/>
        </w:numPr>
        <w:autoSpaceDE w:val="0"/>
        <w:autoSpaceDN w:val="0"/>
        <w:adjustRightInd w:val="0"/>
        <w:spacing w:before="120" w:line="360" w:lineRule="auto"/>
        <w:jc w:val="both"/>
      </w:pPr>
      <w:r w:rsidRPr="003A46CA">
        <w:t>art. 14 ust. 12 – zgodnie z którym:</w:t>
      </w:r>
    </w:p>
    <w:p w14:paraId="3565DC2A" w14:textId="32E9089E" w:rsidR="00867937" w:rsidRPr="003A46CA" w:rsidRDefault="00867937" w:rsidP="00FC6AA4">
      <w:pPr>
        <w:pStyle w:val="Akapitzlist"/>
        <w:numPr>
          <w:ilvl w:val="0"/>
          <w:numId w:val="30"/>
        </w:numPr>
        <w:autoSpaceDE w:val="0"/>
        <w:autoSpaceDN w:val="0"/>
        <w:adjustRightInd w:val="0"/>
        <w:spacing w:before="120" w:line="360" w:lineRule="auto"/>
        <w:jc w:val="both"/>
      </w:pPr>
      <w:r w:rsidRPr="003A46CA">
        <w:t xml:space="preserve">istnieje zasada związana z koniecznością nieprzekraczania maksymalnej wartości pomocy wynikającej z zastosowania maksymalnej intensywności pomocy, </w:t>
      </w:r>
      <w:r w:rsidR="00266450">
        <w:br/>
      </w:r>
      <w:r w:rsidRPr="003A46CA">
        <w:lastRenderedPageBreak/>
        <w:t>w sytuacji udzielania pomocy inwestycyjnej obliczanej na podstawie kosztów kwalifikowalnych wynikających z połączenia kosztów wchodzących w zakres kosztów inwestycji lub kosztów płacy,</w:t>
      </w:r>
    </w:p>
    <w:p w14:paraId="1FFA5ED5" w14:textId="30FC6B91" w:rsidR="00867937" w:rsidRPr="003A46CA" w:rsidRDefault="00867937" w:rsidP="00FC6AA4">
      <w:pPr>
        <w:pStyle w:val="Akapitzlist"/>
        <w:numPr>
          <w:ilvl w:val="0"/>
          <w:numId w:val="30"/>
        </w:numPr>
        <w:autoSpaceDE w:val="0"/>
        <w:autoSpaceDN w:val="0"/>
        <w:adjustRightInd w:val="0"/>
        <w:spacing w:before="120" w:line="360" w:lineRule="auto"/>
        <w:jc w:val="both"/>
      </w:pPr>
      <w:r w:rsidRPr="003A46CA">
        <w:t>w przypadku dużych projektów inwestycyjnych pomoc nie może przekroczyć dostosowanej kwoty pomocy, obliczonej zgodnie ze wzorem określonym w art. 2 pkt. 20 rozporządzenia nr 651/2014. W związku z faktem, iż zastosowanie standardowych pułapów intensywności</w:t>
      </w:r>
      <w:r w:rsidR="00E03F7C" w:rsidRPr="003A46CA">
        <w:t xml:space="preserve"> </w:t>
      </w:r>
      <w:r w:rsidRPr="003A46CA">
        <w:t>w przypadku inwestycji o większych rozmiarach, mogłoby powodować ryzyko zakłócenia konkurencji, dopuszczalna wielkość pomocy dla dużych projektów inwestycyjnych,</w:t>
      </w:r>
      <w:r w:rsidR="00E03F7C" w:rsidRPr="003A46CA">
        <w:t xml:space="preserve"> </w:t>
      </w:r>
      <w:r w:rsidRPr="003A46CA">
        <w:t>tj. przekraczających 50 mln euro, obliczana jest w mniej korzystny dla przedsiębiorcy sposób -</w:t>
      </w:r>
      <w:r w:rsidR="00E03F7C" w:rsidRPr="003A46CA">
        <w:t xml:space="preserve"> </w:t>
      </w:r>
      <w:r w:rsidRPr="003A46CA">
        <w:t xml:space="preserve">w oparciu </w:t>
      </w:r>
      <w:r w:rsidR="00266450">
        <w:br/>
      </w:r>
      <w:r w:rsidRPr="003A46CA">
        <w:t>o dostosowaną kwotę pomocy, określoną w art. 2 pkt 20 rozporządzenia</w:t>
      </w:r>
      <w:r w:rsidR="00E03F7C" w:rsidRPr="003A46CA">
        <w:t xml:space="preserve"> </w:t>
      </w:r>
      <w:r w:rsidRPr="003A46CA">
        <w:t>nr 651/2014. W wyniku zastosowania tego wzoru maksymalna wartość pomocy dla projektów powyżej 50 mln euro jest mniejsza, niż ta obliczona z zastosowaniem standardowej intensywności pomocy;</w:t>
      </w:r>
    </w:p>
    <w:p w14:paraId="6314C860" w14:textId="01294F3F" w:rsidR="00867937" w:rsidRPr="003A46CA" w:rsidRDefault="00867937" w:rsidP="00FC6AA4">
      <w:pPr>
        <w:pStyle w:val="Akapitzlist"/>
        <w:numPr>
          <w:ilvl w:val="0"/>
          <w:numId w:val="29"/>
        </w:numPr>
        <w:autoSpaceDE w:val="0"/>
        <w:autoSpaceDN w:val="0"/>
        <w:adjustRightInd w:val="0"/>
        <w:spacing w:before="120" w:line="360" w:lineRule="auto"/>
        <w:jc w:val="both"/>
      </w:pPr>
      <w:r w:rsidRPr="003A46CA">
        <w:t>art. 14 ust. 13 – zgodnie z którym:</w:t>
      </w:r>
    </w:p>
    <w:p w14:paraId="2F57F127" w14:textId="0DF8D4C8" w:rsidR="00867937" w:rsidRPr="003A46CA" w:rsidRDefault="00867937" w:rsidP="00FC6AA4">
      <w:pPr>
        <w:pStyle w:val="Akapitzlist"/>
        <w:numPr>
          <w:ilvl w:val="0"/>
          <w:numId w:val="32"/>
        </w:numPr>
        <w:autoSpaceDE w:val="0"/>
        <w:autoSpaceDN w:val="0"/>
        <w:adjustRightInd w:val="0"/>
        <w:spacing w:before="120" w:line="360" w:lineRule="auto"/>
        <w:jc w:val="both"/>
      </w:pPr>
      <w:r w:rsidRPr="003A46CA">
        <w:t xml:space="preserve">poprzez jednostkowy projekt inwestycyjny należy rozumieć każdą inwestycję początkową rozpoczętą przez tego samego beneficjenta (na poziomie grupy) w okresie trzech lat od daty rozpoczęcia prac nad inną inwestycją objętą pomocą w tym samym regionie NUTS 3, </w:t>
      </w:r>
    </w:p>
    <w:p w14:paraId="1EE3E569" w14:textId="35ED7D35" w:rsidR="00867937" w:rsidRPr="003A46CA" w:rsidRDefault="00867937" w:rsidP="00FC6AA4">
      <w:pPr>
        <w:pStyle w:val="Akapitzlist"/>
        <w:numPr>
          <w:ilvl w:val="0"/>
          <w:numId w:val="32"/>
        </w:numPr>
        <w:autoSpaceDE w:val="0"/>
        <w:autoSpaceDN w:val="0"/>
        <w:adjustRightInd w:val="0"/>
        <w:spacing w:before="120" w:line="360" w:lineRule="auto"/>
        <w:jc w:val="both"/>
      </w:pPr>
      <w:r w:rsidRPr="003A46CA">
        <w:t>jeżeli jednostkowy projekt inwestycyjny jest dużym projektem inwestycyjnym, łączna pomoc</w:t>
      </w:r>
      <w:r w:rsidR="00E03F7C" w:rsidRPr="003A46CA">
        <w:t xml:space="preserve"> </w:t>
      </w:r>
      <w:r w:rsidRPr="003A46CA">
        <w:t>na jednostkowy projekt inwestycyjny nie przekracza maksymalnej pomocy dla dużych projektów inwestycyjnych;</w:t>
      </w:r>
    </w:p>
    <w:p w14:paraId="07A2A29D" w14:textId="42C74957" w:rsidR="00867937" w:rsidRPr="003A46CA" w:rsidRDefault="00867937" w:rsidP="00FC6AA4">
      <w:pPr>
        <w:pStyle w:val="Akapitzlist"/>
        <w:numPr>
          <w:ilvl w:val="0"/>
          <w:numId w:val="29"/>
        </w:numPr>
        <w:autoSpaceDE w:val="0"/>
        <w:autoSpaceDN w:val="0"/>
        <w:adjustRightInd w:val="0"/>
        <w:spacing w:before="120" w:line="360" w:lineRule="auto"/>
        <w:jc w:val="both"/>
      </w:pPr>
      <w:r w:rsidRPr="003A46CA">
        <w:t>art. 14 ust. 14 – zgodnie z którym beneficjent pomocy musi wnieść wkład finansowy w wysokości co najmniej 25% kosztów kwalifikowalnych pochodzących ze środków własnych</w:t>
      </w:r>
      <w:r w:rsidR="00E03F7C" w:rsidRPr="003A46CA">
        <w:t xml:space="preserve"> </w:t>
      </w:r>
      <w:r w:rsidRPr="003A46CA">
        <w:t>lub z zewnętrznych źródeł finansowania, w postaci wolnej od wszelkiego publicznego wsparcia finansowego.</w:t>
      </w:r>
    </w:p>
    <w:p w14:paraId="5D434C60" w14:textId="493DC079" w:rsidR="00F5772E" w:rsidRPr="003A46CA" w:rsidRDefault="00F5772E" w:rsidP="00900499">
      <w:pPr>
        <w:autoSpaceDE w:val="0"/>
        <w:autoSpaceDN w:val="0"/>
        <w:adjustRightInd w:val="0"/>
        <w:spacing w:before="120" w:line="360" w:lineRule="auto"/>
        <w:jc w:val="both"/>
      </w:pPr>
      <w:r w:rsidRPr="003A46CA">
        <w:t>§ 3</w:t>
      </w:r>
      <w:r w:rsidR="00317808">
        <w:t>7</w:t>
      </w:r>
      <w:r w:rsidRPr="003A46CA">
        <w:t xml:space="preserve"> </w:t>
      </w:r>
      <w:r w:rsidR="008D36FB" w:rsidRPr="003A46CA">
        <w:t>pkt</w:t>
      </w:r>
      <w:r w:rsidRPr="003A46CA">
        <w:t xml:space="preserve"> 1 doprecyzowuje, iż regionalna pomoc inwestycyjna nie może być udzielana na tzw. inwestycję odtworzeniową, czyli taką, która prowadzi wyłącznie do odtworzenia zdolności produkcyjnych zakładu, tj. inwestycję niespełniającą żadnych enumeratywnie wskazanych rodzajów nowej inwestycji. Chodzi tu o przedsięwzięcia polegające wyłącznie na wymianie (odtworzeniu) dotychczas wykorzystywanych środków trwałych ze względu na stopień ich zużycia np. zastąpienie starych maszyn i urządzeń nowym sprzętem, wymianę dotychczasowego oprogramowania na nowe, remonty, naprawy oraz prace mające na celu </w:t>
      </w:r>
      <w:r w:rsidRPr="003A46CA">
        <w:lastRenderedPageBreak/>
        <w:t>utrzymanie danego obiektu w należytym stanie technicznym. Są to niejako inwestycje konieczne, których zaniechanie może w konsekwencji doprowadzić do utraty zdolności produkcyjnych. Choć przez przedsiębiorcę takie działania mogą być utożsamiane z nową inwestycją, z uwagi na ich czysto operacyjny charakter, pomoc regionalna nie może ich finansować.</w:t>
      </w:r>
    </w:p>
    <w:p w14:paraId="5457C0E7" w14:textId="610DB7C0" w:rsidR="00F5772E" w:rsidRPr="003A46CA" w:rsidRDefault="00F5772E" w:rsidP="00900499">
      <w:pPr>
        <w:autoSpaceDE w:val="0"/>
        <w:autoSpaceDN w:val="0"/>
        <w:adjustRightInd w:val="0"/>
        <w:spacing w:before="120" w:line="360" w:lineRule="auto"/>
        <w:jc w:val="both"/>
      </w:pPr>
      <w:r w:rsidRPr="003A46CA">
        <w:t>§ 3</w:t>
      </w:r>
      <w:r w:rsidR="00317808">
        <w:t>7</w:t>
      </w:r>
      <w:r w:rsidRPr="003A46CA">
        <w:t xml:space="preserve"> </w:t>
      </w:r>
      <w:r w:rsidR="008D36FB" w:rsidRPr="003A46CA">
        <w:t>pkt</w:t>
      </w:r>
      <w:r w:rsidRPr="003A46CA">
        <w:t xml:space="preserve"> 2 wskazuje, że w ramach rozporządzenia nie będzie udzielana regionalna pomoc inwestycyjna na projekty o dużych rozmiarach i znaczącej wartości pomocy przyznanej na ich wsparcie, tj. powyżej limitów określonych w art. 4 ust. 1 lit. a rozporządzenia nr 651/2014.</w:t>
      </w:r>
    </w:p>
    <w:p w14:paraId="65C0F2D0" w14:textId="664F19C3" w:rsidR="00FE3652" w:rsidRPr="003A46CA" w:rsidRDefault="00FE3652" w:rsidP="00FE3652">
      <w:pPr>
        <w:autoSpaceDE w:val="0"/>
        <w:autoSpaceDN w:val="0"/>
        <w:adjustRightInd w:val="0"/>
        <w:spacing w:before="120" w:line="360" w:lineRule="auto"/>
        <w:jc w:val="both"/>
      </w:pPr>
      <w:r w:rsidRPr="003A46CA">
        <w:t>W § 3</w:t>
      </w:r>
      <w:r w:rsidR="00317808">
        <w:t>8</w:t>
      </w:r>
      <w:r w:rsidRPr="003A46CA">
        <w:t xml:space="preserve"> uregulowano szczegółowe przeznaczenie, warunki i tryb udzielania pomocy inwestycyjnej na infrastrukturę sportową i wielofunkcyjną infrastrukturę rekreacyjną, czyli infrastrukturę składająca się z zaplecza rekreacyjnego o wielofunkcyjnym charakterze oferującego w szczególności usługi kulturalne i rekreacyjne, z wyjątkiem rozrywki i obiektów hotelowych. Pomoc ta jest udzielana zgodnie z art. 55 rozporządzenia nr 651/2014</w:t>
      </w:r>
    </w:p>
    <w:p w14:paraId="090FC60E" w14:textId="039C45F4" w:rsidR="00FE3652" w:rsidRPr="003A46CA" w:rsidRDefault="00FE3652" w:rsidP="00FE3652">
      <w:pPr>
        <w:autoSpaceDE w:val="0"/>
        <w:autoSpaceDN w:val="0"/>
        <w:adjustRightInd w:val="0"/>
        <w:spacing w:before="120" w:line="360" w:lineRule="auto"/>
        <w:jc w:val="both"/>
      </w:pPr>
      <w:r w:rsidRPr="003A46CA">
        <w:t>Zgodnie z § 3</w:t>
      </w:r>
      <w:r w:rsidR="00317808">
        <w:t>8</w:t>
      </w:r>
      <w:r w:rsidRPr="003A46CA">
        <w:t xml:space="preserve"> ust. 2 obu rodzajów infrastruktury dotyczą warunki udzielania pomocy określone w </w:t>
      </w:r>
      <w:bookmarkStart w:id="3" w:name="_Hlk157504863"/>
      <w:r w:rsidRPr="003A46CA">
        <w:t xml:space="preserve">art. 55 </w:t>
      </w:r>
      <w:bookmarkEnd w:id="3"/>
      <w:r w:rsidRPr="003A46CA">
        <w:t>ust. 4 i ust. 6 rozporządzenia nr 651/2014 dotyczące zasad udostępniania infrastruktury oraz udzielania koncesji i powierzania. W</w:t>
      </w:r>
      <w:r w:rsidR="008D50C5" w:rsidRPr="008D50C5">
        <w:t xml:space="preserve"> art. 55 </w:t>
      </w:r>
      <w:r w:rsidRPr="003A46CA">
        <w:t xml:space="preserve"> ust. 4 rozporządzenia nr 651/2014 wskazano, iż infrastruktura jest udostępniania szeregowi użytkowników w oparciu o otwarte przejrzyste i niedyskryminacyjne zasady. Jedynie przedsiębiorca, który finansuje co najmniej 30% kosztów inwestycji może mieć przyznane korzystniejsze warunki dostępu do infrastruktury, o ile informacje na ten temat są dostępne publicznie. Art. 56 ust. 6 rozporządzenia nr 651/2014 reguluje wydawanie koncesji i inne formy powierzenia. Jeśli osoby trzecie mają otrzymać daną infrastrukturę lokalną wspartą w ramach rozporządzenia na mocy koncesji bądź innej formy porozumienia, to są one udzielane na otwartych, przejrzystych i niedyskryminacyjnych zasadach, z należytym poszanowaniem obowiązujących zasad udzielania zamówień.</w:t>
      </w:r>
    </w:p>
    <w:p w14:paraId="4951A24A" w14:textId="2DCD5F8C" w:rsidR="00FE3652" w:rsidRPr="003A46CA" w:rsidRDefault="00FE3652" w:rsidP="00FE3652">
      <w:pPr>
        <w:autoSpaceDE w:val="0"/>
        <w:autoSpaceDN w:val="0"/>
        <w:adjustRightInd w:val="0"/>
        <w:spacing w:before="120" w:line="360" w:lineRule="auto"/>
        <w:jc w:val="both"/>
      </w:pPr>
      <w:r w:rsidRPr="003A46CA">
        <w:t xml:space="preserve">Natomiast dla udzielania pomocy inwestycyjnej na infrastrukturę sportową konieczne jest dodatkowo spełnienie warunków dotyczących użytkowania takiej infrastruktury przez użytkowników uprawiających sport zawodowo lub amatorsko (art. 55 ust. 2 rozporządzenia nr 651/2014) oraz publicznego udostępniania warunków cenowych za korzystanie z takiej infrastruktury (art. 55 ust. 5 rozporządzenia nr 651/2014 – zgodnie z brzmieniem tego ustępu, państwa członkowskie muszą zapewnić, by te warunki cenowe były publicznie dostępne). </w:t>
      </w:r>
    </w:p>
    <w:p w14:paraId="358FECF2" w14:textId="2A46577A" w:rsidR="00FE3652" w:rsidRPr="003A46CA" w:rsidRDefault="00FE3652" w:rsidP="00900499">
      <w:pPr>
        <w:autoSpaceDE w:val="0"/>
        <w:autoSpaceDN w:val="0"/>
        <w:adjustRightInd w:val="0"/>
        <w:spacing w:before="120" w:line="360" w:lineRule="auto"/>
        <w:jc w:val="both"/>
      </w:pPr>
      <w:r w:rsidRPr="003A46CA">
        <w:lastRenderedPageBreak/>
        <w:t xml:space="preserve">Przepis § </w:t>
      </w:r>
      <w:r w:rsidR="00D23F67" w:rsidRPr="003A46CA">
        <w:t>3</w:t>
      </w:r>
      <w:r w:rsidRPr="003A46CA">
        <w:t xml:space="preserve">7 </w:t>
      </w:r>
      <w:r w:rsidR="00D23F67" w:rsidRPr="003A46CA">
        <w:t>ust.</w:t>
      </w:r>
      <w:r w:rsidRPr="003A46CA">
        <w:t xml:space="preserve"> 3 projektowanego rozporządzenia określa koszty kwalifikowalne, które będą mogły zostać objęte pomocą i wskazuje, co projektodawca uważa za koszty kwalifikowalne, które będą mogły zostać objęte pomocą. Kosztami kwalifikowalnymi w ramach projektowanego programu są koszty, które spełniają warunki wskazane art. 55 ust. 8 rozporządzenia nr 651/2014. Na możliwość pokrycia kosztów kwalifikowalnych ze środków uzyskanych w ramach udzielonej pomocy nie ma wpływu to, czy beneficjent zapłacił już poniesione koszty kwalifikowalne, czy opłaci je dopiero z otrzymanych środków.</w:t>
      </w:r>
    </w:p>
    <w:p w14:paraId="28779F34" w14:textId="7CAC4651" w:rsidR="00FE3652" w:rsidRPr="003A46CA" w:rsidRDefault="00BC1152" w:rsidP="00900499">
      <w:pPr>
        <w:autoSpaceDE w:val="0"/>
        <w:autoSpaceDN w:val="0"/>
        <w:adjustRightInd w:val="0"/>
        <w:spacing w:before="120" w:line="360" w:lineRule="auto"/>
        <w:jc w:val="both"/>
      </w:pPr>
      <w:r w:rsidRPr="003A46CA">
        <w:t>Przepis § 3</w:t>
      </w:r>
      <w:r w:rsidR="00317808">
        <w:t>9</w:t>
      </w:r>
      <w:r w:rsidRPr="003A46CA">
        <w:t xml:space="preserve"> ust. 1 projektowanego rozporządzenia określa zasady wyliczania wartości dopuszczalnej pomocy udzielanej na podstawie projektowanego rozporządzenia. Wartość dopuszczalnej pomocy ustala się zgodnie z art. 55 ust. 10 rozporządzenia nr 651/2014. Oznacza to, że wartość pomocy jest obliczana jako różnica między kosztami kwalifikowalnymi a zyskiem, jaki przyniesie inwestycja. Planowany zysk odlicza się od kosztów kwalifikowalnych ex ante, przy uwzględnieniu rozsądnych prognoz, albo odlicza z wykorzystaniem mechanizmu wycofania. W § 3</w:t>
      </w:r>
      <w:r w:rsidR="00317808">
        <w:t>9</w:t>
      </w:r>
      <w:r w:rsidRPr="003A46CA">
        <w:t xml:space="preserve"> ust. 2 wskazano alternatywną formę określania wartości pomocy. Zgodnie z treścią art. 55 ust. 12 nie ma konieczności obliczania ex-ante różnicy pomiędzy zyskiem operacyjnym  a kosztami kwalifikowalnymi, o ile projekt uzyskuje pomoc o wartości nie większej niż 2</w:t>
      </w:r>
      <w:r w:rsidR="005774DF" w:rsidRPr="003A46CA">
        <w:t>,2</w:t>
      </w:r>
      <w:r w:rsidRPr="003A46CA">
        <w:t xml:space="preserve"> mln euro. W takim wypadku maksymalną kwotę pomocy można ustalić na poziomie 80% kosztów kwalifikowalnych.</w:t>
      </w:r>
    </w:p>
    <w:p w14:paraId="2F0DBA27" w14:textId="781283EA" w:rsidR="00BC1152" w:rsidRPr="003A46CA" w:rsidRDefault="00BC1152" w:rsidP="00900499">
      <w:pPr>
        <w:autoSpaceDE w:val="0"/>
        <w:autoSpaceDN w:val="0"/>
        <w:adjustRightInd w:val="0"/>
        <w:spacing w:before="120" w:line="360" w:lineRule="auto"/>
        <w:jc w:val="both"/>
      </w:pPr>
      <w:r w:rsidRPr="003A46CA">
        <w:t xml:space="preserve">§ </w:t>
      </w:r>
      <w:r w:rsidR="00317808">
        <w:t>40</w:t>
      </w:r>
      <w:r w:rsidRPr="003A46CA">
        <w:t xml:space="preserve"> wskazuje, że w ramach rozporządzenia nie będzie udzielana pomoc inwestycyjna </w:t>
      </w:r>
      <w:r w:rsidR="005774DF" w:rsidRPr="003A46CA">
        <w:t xml:space="preserve">na infrastrukturę sportową i wielofunkcyjną infrastrukturę rekreacyjną </w:t>
      </w:r>
      <w:r w:rsidRPr="003A46CA">
        <w:t>na projekty o dużych rozmiarach i znaczącej wartości pomocy przyznanej na ich wsparcie, tj. powyżej limitów określonych w art. 4 ust. 1 lit. bb rozporządzenia nr 651/2014.</w:t>
      </w:r>
    </w:p>
    <w:p w14:paraId="54B4CD80" w14:textId="49B60F5E" w:rsidR="005774DF" w:rsidRPr="003A46CA" w:rsidRDefault="007079C3" w:rsidP="00900499">
      <w:pPr>
        <w:autoSpaceDE w:val="0"/>
        <w:autoSpaceDN w:val="0"/>
        <w:adjustRightInd w:val="0"/>
        <w:spacing w:before="120" w:line="360" w:lineRule="auto"/>
        <w:jc w:val="both"/>
      </w:pPr>
      <w:r w:rsidRPr="003A46CA">
        <w:t>W rozdziale 12 uregulowano zasady przyznawania pomocy inwestycyjnej na kulturę i zachowanie dziedzictwa kulturowego. W § 4</w:t>
      </w:r>
      <w:r w:rsidR="00317808">
        <w:t>1</w:t>
      </w:r>
      <w:r w:rsidRPr="003A46CA">
        <w:t xml:space="preserve"> ust. 1 uregulowano, że pomoc przyznawana jest zgodnie z art. 53 rozporządzenia nr 651/2014 oraz wskazano listę celów i działań kulturalnych objętych wsparciem, poprzez odwołanie do odpowiednich przepisów rozporządzenia nr 651/2014. § 4</w:t>
      </w:r>
      <w:r w:rsidR="00317808">
        <w:t>1</w:t>
      </w:r>
      <w:r w:rsidRPr="003A46CA">
        <w:t xml:space="preserve"> ust. 2 projektowanego rozporządzenia określa koszty kwalifikowalne, które będą mogły zostać objęte pomocą. Kosztami kwalifikowalnymi w ramach projektowanego programu są koszty, które spełniają warunki wskazane w art. 53 ust. 4 rozporządzenia nr 651/2014 oraz art. 53 ust. 9 zdanie trzecie rozporządzenia nr 651/2014.</w:t>
      </w:r>
    </w:p>
    <w:p w14:paraId="26158578" w14:textId="6E044F5F" w:rsidR="005774DF" w:rsidRPr="003A46CA" w:rsidRDefault="007079C3" w:rsidP="00900499">
      <w:pPr>
        <w:autoSpaceDE w:val="0"/>
        <w:autoSpaceDN w:val="0"/>
        <w:adjustRightInd w:val="0"/>
        <w:spacing w:before="120" w:line="360" w:lineRule="auto"/>
        <w:jc w:val="both"/>
      </w:pPr>
      <w:r w:rsidRPr="003A46CA">
        <w:t>Przepis § 4</w:t>
      </w:r>
      <w:r w:rsidR="00317808">
        <w:t>2</w:t>
      </w:r>
      <w:r w:rsidRPr="003A46CA">
        <w:t xml:space="preserve"> ust. 1 projektowanego rozporządzenia określa zasady wyliczania wartości dopuszczalnej pomocy udzielanej na podstawie projektowanego rozporządzenia. Wartość dopuszczalnej pomocy ustala się zgodnie z art. 53 ust. 6 oraz ust. 9 zdanie pierwsze i drugie </w:t>
      </w:r>
      <w:r w:rsidRPr="003A46CA">
        <w:lastRenderedPageBreak/>
        <w:t xml:space="preserve">rozporządzenia nr 651/2014. W § </w:t>
      </w:r>
      <w:r w:rsidR="008D36FB" w:rsidRPr="003A46CA">
        <w:t>4</w:t>
      </w:r>
      <w:r w:rsidR="00317808">
        <w:t>2</w:t>
      </w:r>
      <w:r w:rsidRPr="003A46CA">
        <w:t xml:space="preserve"> ust. 2 wskazano alternatywną formę określania wartości pomocy. Zgodnie z treścią art. 53 ust. 8 </w:t>
      </w:r>
      <w:r w:rsidR="0049486B" w:rsidRPr="0049486B">
        <w:t>rozporządzenia nr 651/2014</w:t>
      </w:r>
      <w:r w:rsidR="0049486B">
        <w:t xml:space="preserve"> </w:t>
      </w:r>
      <w:r w:rsidRPr="003A46CA">
        <w:t>nie ma konieczności obliczania ex-ante różnicy pomiędzy zyskiem operacyjnym a kosztami kwalifikowalnymi, o ile projekt uzyskuje pomoc o wartości nie większej niż 2</w:t>
      </w:r>
      <w:r w:rsidR="008D36FB" w:rsidRPr="003A46CA">
        <w:t xml:space="preserve">,2 </w:t>
      </w:r>
      <w:r w:rsidRPr="003A46CA">
        <w:t xml:space="preserve"> mln euro. W takim wypadku maksymalną kwotę pomocy można ustalić na poziomie 80% kosztów kwalifikowalnych.</w:t>
      </w:r>
    </w:p>
    <w:p w14:paraId="0C76B1A0" w14:textId="3665E945" w:rsidR="008D36FB" w:rsidRPr="003A46CA" w:rsidRDefault="008D36FB" w:rsidP="00900499">
      <w:pPr>
        <w:autoSpaceDE w:val="0"/>
        <w:autoSpaceDN w:val="0"/>
        <w:adjustRightInd w:val="0"/>
        <w:spacing w:before="120" w:line="360" w:lineRule="auto"/>
        <w:jc w:val="both"/>
      </w:pPr>
      <w:r w:rsidRPr="003A46CA">
        <w:t>W § 4</w:t>
      </w:r>
      <w:r w:rsidR="00317808">
        <w:t>3</w:t>
      </w:r>
      <w:r w:rsidRPr="003A46CA">
        <w:t xml:space="preserve"> pkt 1 wskazano, że przepisów rozporządzenia nie stosuje się w przypadkach, o których mowa w art. 53 ust. 10 rozporządzenia nr 651/2014, tzn. do pomocy udzielanej dla prasy i magazynów niezalenie od tego czy są one publikowane w wersji papierowej czy elektronicznej.</w:t>
      </w:r>
    </w:p>
    <w:p w14:paraId="3E67C28E" w14:textId="2EBC2BD5" w:rsidR="008D36FB" w:rsidRPr="003A46CA" w:rsidRDefault="008D36FB" w:rsidP="00900499">
      <w:pPr>
        <w:autoSpaceDE w:val="0"/>
        <w:autoSpaceDN w:val="0"/>
        <w:adjustRightInd w:val="0"/>
        <w:spacing w:before="120" w:line="360" w:lineRule="auto"/>
        <w:jc w:val="both"/>
      </w:pPr>
      <w:r w:rsidRPr="003A46CA">
        <w:t>§ 4</w:t>
      </w:r>
      <w:r w:rsidR="00317808">
        <w:t>3</w:t>
      </w:r>
      <w:r w:rsidRPr="003A46CA">
        <w:t xml:space="preserve"> pkt 2 wskazuje, że w ramach rozporządzenia nie będzie udzielana pomoc inwestycyjna </w:t>
      </w:r>
      <w:r w:rsidR="009A24AB" w:rsidRPr="009A24AB">
        <w:t xml:space="preserve">na kulturę i zachowanie dziedzictwa kulturowego </w:t>
      </w:r>
      <w:r w:rsidRPr="003A46CA">
        <w:t>na projekty o dużych rozmiarach i znaczącej wartości pomocy przyznanej na ich wsparcie, tj. powyżej limitów określonych w art. 4 ust. 1 lit. z rozporządzenia nr 651/2014.</w:t>
      </w:r>
    </w:p>
    <w:p w14:paraId="58FA0954" w14:textId="03EA5AA2" w:rsidR="004A4241" w:rsidRPr="003A46CA" w:rsidRDefault="004A4241" w:rsidP="00900499">
      <w:pPr>
        <w:autoSpaceDE w:val="0"/>
        <w:autoSpaceDN w:val="0"/>
        <w:adjustRightInd w:val="0"/>
        <w:spacing w:before="120" w:line="360" w:lineRule="auto"/>
        <w:jc w:val="both"/>
      </w:pPr>
      <w:r w:rsidRPr="003A46CA">
        <w:t>W rozdziale 13 uregulowano zasady przyznawania pomocy inwestycyjnej na infrastrukturę ładowania lub tankowania. W § 4</w:t>
      </w:r>
      <w:r w:rsidR="00317808">
        <w:t>4</w:t>
      </w:r>
      <w:r w:rsidRPr="003A46CA">
        <w:t xml:space="preserve"> ust. 1 uregulowano, że pomoc przyznawana jest zgodnie z art. </w:t>
      </w:r>
      <w:r w:rsidR="006A0B89" w:rsidRPr="003A46CA">
        <w:t>36a</w:t>
      </w:r>
      <w:r w:rsidRPr="003A46CA">
        <w:t xml:space="preserve"> rozporządzenia nr 651/2014</w:t>
      </w:r>
      <w:r w:rsidR="006A0B89" w:rsidRPr="003A46CA">
        <w:t>. Pojęcia infrastruktury ładowania oraz infrastruktury tankowania zostały zdefiniowane poprzez odesłanie do odpowiednich przepisów rozporządzenia nr 651/2014.</w:t>
      </w:r>
    </w:p>
    <w:p w14:paraId="74745BDD" w14:textId="50A39A92" w:rsidR="00EC0F43" w:rsidRPr="003A46CA" w:rsidRDefault="00EC0F43" w:rsidP="00EC0F43">
      <w:pPr>
        <w:autoSpaceDE w:val="0"/>
        <w:autoSpaceDN w:val="0"/>
        <w:adjustRightInd w:val="0"/>
        <w:spacing w:before="120" w:line="360" w:lineRule="auto"/>
        <w:jc w:val="both"/>
      </w:pPr>
      <w:r w:rsidRPr="003A46CA">
        <w:t>W § 4</w:t>
      </w:r>
      <w:r w:rsidR="00317808">
        <w:t>4</w:t>
      </w:r>
      <w:r w:rsidRPr="003A46CA">
        <w:t xml:space="preserve"> ust. 2</w:t>
      </w:r>
      <w:r w:rsidR="00052D82" w:rsidRPr="003A46CA">
        <w:t xml:space="preserve"> – </w:t>
      </w:r>
      <w:r w:rsidRPr="003A46CA">
        <w:t xml:space="preserve"> 6 projektu rozporządzenia poprzez odwołanie się do przepisów rozporządzenia nr 651/2014 określono warunki dopuszczalności pomocy inwestycyjnej na infrastrukturę ładowania lub tankowania określające m.in., że: </w:t>
      </w:r>
    </w:p>
    <w:p w14:paraId="2EF52FBD" w14:textId="2B6A6EC0" w:rsidR="00EC0F43" w:rsidRPr="003A46CA" w:rsidRDefault="00EC0F43" w:rsidP="00FC6AA4">
      <w:pPr>
        <w:pStyle w:val="Akapitzlist"/>
        <w:numPr>
          <w:ilvl w:val="0"/>
          <w:numId w:val="34"/>
        </w:numPr>
        <w:autoSpaceDE w:val="0"/>
        <w:autoSpaceDN w:val="0"/>
        <w:adjustRightInd w:val="0"/>
        <w:spacing w:before="120" w:line="360" w:lineRule="auto"/>
        <w:jc w:val="both"/>
      </w:pPr>
      <w:r w:rsidRPr="003A46CA">
        <w:t>w przypadku pomocy na infrastrukturę ładowania lub tankowania, pomoc przyznana któremukolwiek przedsiębiorstwu nie może przekraczać 40% całkowitego budżetu programu pomocowego (art. 36a ust. 7 rozporządzenia nr 651/2014);</w:t>
      </w:r>
    </w:p>
    <w:p w14:paraId="0F352248" w14:textId="77146DFB" w:rsidR="00EC0F43" w:rsidRPr="003A46CA" w:rsidRDefault="00EC0F43" w:rsidP="00FC6AA4">
      <w:pPr>
        <w:pStyle w:val="Akapitzlist"/>
        <w:numPr>
          <w:ilvl w:val="0"/>
          <w:numId w:val="34"/>
        </w:numPr>
        <w:autoSpaceDE w:val="0"/>
        <w:autoSpaceDN w:val="0"/>
        <w:adjustRightInd w:val="0"/>
        <w:spacing w:before="120" w:line="360" w:lineRule="auto"/>
        <w:jc w:val="both"/>
      </w:pPr>
      <w:r w:rsidRPr="003A46CA">
        <w:t>w przypadku pomocy na infrastrukturę ładowania wodoru beneficjent zobowiązuje się, że najpóźniej do dnia 31 grudnia 2035 r. infrastruktura tankowania będzie dostarczać wyłącznie wodór odnawialny (art. 36a ust. 2 zdanie drugie rozporządzenia nr 651/2014);</w:t>
      </w:r>
    </w:p>
    <w:p w14:paraId="0470D59D" w14:textId="66D7C967" w:rsidR="00EC0F43" w:rsidRPr="00FC6AA4" w:rsidRDefault="00EC0F43" w:rsidP="00FC6AA4">
      <w:pPr>
        <w:pStyle w:val="Akapitzlist"/>
        <w:numPr>
          <w:ilvl w:val="0"/>
          <w:numId w:val="34"/>
        </w:numPr>
        <w:autoSpaceDE w:val="0"/>
        <w:autoSpaceDN w:val="0"/>
        <w:adjustRightInd w:val="0"/>
        <w:spacing w:before="120" w:line="360" w:lineRule="auto"/>
        <w:jc w:val="both"/>
      </w:pPr>
      <w:r w:rsidRPr="00FC6AA4">
        <w:t xml:space="preserve">w przypadku pomocy na instalację do wytwarzania na miejscu energii elektrycznej ze źródeł odnawialnych lub wodoru odnawialnego, w rozumieniu art. 36a ust. 3 zdanie czwarte rozporządzenia nr 651/2014, nominalna moc produkcyjna tej instalacji nie może przekraczać maksymalnej mocy znamionowej lub zdolności tankowania </w:t>
      </w:r>
      <w:r w:rsidRPr="00FC6AA4">
        <w:lastRenderedPageBreak/>
        <w:t>infrastruktury ładowania lub tankowania, do której jest ona podłączona (art. 36a ust. 3 zdanie czwarte rozporządzenia nr 651/2014);</w:t>
      </w:r>
    </w:p>
    <w:p w14:paraId="77BF9703" w14:textId="20334453" w:rsidR="00EC0F43" w:rsidRPr="003A46CA" w:rsidRDefault="00EC0F43" w:rsidP="00FC6AA4">
      <w:pPr>
        <w:pStyle w:val="Akapitzlist"/>
        <w:numPr>
          <w:ilvl w:val="0"/>
          <w:numId w:val="34"/>
        </w:numPr>
        <w:autoSpaceDE w:val="0"/>
        <w:autoSpaceDN w:val="0"/>
        <w:adjustRightInd w:val="0"/>
        <w:spacing w:before="120" w:line="360" w:lineRule="auto"/>
        <w:jc w:val="both"/>
      </w:pPr>
      <w:r w:rsidRPr="003A46CA">
        <w:t>w przypadku pomocy na budowę nowej infrastruktury ładowania, która umożliwia przesyłanie energii elektrycznej o mocy nie większej niż 22 kW, infrastruktura musi być zdolna do obsługi funkcji inteligentnego ładowania (art. 36a ust. 13 rozporządzenia nr 651/2014);</w:t>
      </w:r>
    </w:p>
    <w:p w14:paraId="0C114A06" w14:textId="18EE1FF6" w:rsidR="00EC0F43" w:rsidRPr="003A46CA" w:rsidRDefault="00EC0F43" w:rsidP="00FC6AA4">
      <w:pPr>
        <w:pStyle w:val="Akapitzlist"/>
        <w:numPr>
          <w:ilvl w:val="0"/>
          <w:numId w:val="34"/>
        </w:numPr>
        <w:autoSpaceDE w:val="0"/>
        <w:autoSpaceDN w:val="0"/>
        <w:adjustRightInd w:val="0"/>
        <w:spacing w:before="120" w:line="360" w:lineRule="auto"/>
        <w:jc w:val="both"/>
      </w:pPr>
      <w:r w:rsidRPr="003A46CA">
        <w:t>w przypadku pomocy na infrastrukturę ładowania lub tankowania muszą być spełnione warunki w zakresie jej udostępniania (art. 36a ust. 8, 9 oraz 12 rozporządzenia nr 651/2014):</w:t>
      </w:r>
    </w:p>
    <w:p w14:paraId="440E534A" w14:textId="18D726A4" w:rsidR="00EC0F43" w:rsidRPr="003A46CA" w:rsidRDefault="00EC0F43" w:rsidP="00FC6AA4">
      <w:pPr>
        <w:pStyle w:val="Akapitzlist"/>
        <w:numPr>
          <w:ilvl w:val="0"/>
          <w:numId w:val="35"/>
        </w:numPr>
        <w:autoSpaceDE w:val="0"/>
        <w:autoSpaceDN w:val="0"/>
        <w:adjustRightInd w:val="0"/>
        <w:spacing w:before="120" w:line="360" w:lineRule="auto"/>
        <w:jc w:val="both"/>
      </w:pPr>
      <w:r w:rsidRPr="003A46CA">
        <w:t>jeżeli infrastruktura ładowania lub tankowania jest otwarta na dostęp użytkowników innych niż beneficjent lub beneficjenci pomocy, pomoc przyznaje się wyłącznie na budowę, instalację, modernizację lub rozbudowę infrastruktury ładowania lub tankowania publicznie dostępnej i umożliwiającej użytkownikom niedyskryminacyjny dostęp, w tym w odniesieniu do taryf, metod uwierzytelniania i płatności oraz innych warunków użytkowania; opłaty pobierane od użytkowników innych niż beneficjent lub beneficjenci pomocy za korzystanie z infrastruktury ładowania lub tankowania odpowiadają cenom rynkowym;</w:t>
      </w:r>
    </w:p>
    <w:p w14:paraId="749E134C" w14:textId="338E7B35" w:rsidR="00EC0F43" w:rsidRPr="003A46CA" w:rsidRDefault="00EC0F43" w:rsidP="00FC6AA4">
      <w:pPr>
        <w:pStyle w:val="Akapitzlist"/>
        <w:numPr>
          <w:ilvl w:val="0"/>
          <w:numId w:val="35"/>
        </w:numPr>
        <w:autoSpaceDE w:val="0"/>
        <w:autoSpaceDN w:val="0"/>
        <w:adjustRightInd w:val="0"/>
        <w:spacing w:before="120" w:line="360" w:lineRule="auto"/>
        <w:jc w:val="both"/>
      </w:pPr>
      <w:r w:rsidRPr="003A46CA">
        <w:t>operatorzy infrastruktury ładowania lub tankowania, którzy oferują lub dopuszczają płatności oparte na umowie za korzystanie ze swojej infrastruktury, nie dyskryminują żadnego z dostawców usług w zakresie mobilności, na przykład przez stosowanie preferencyjnych warunków dostępu lub przez różnicowanie cen bez obiektywnego uzasadnienia;</w:t>
      </w:r>
    </w:p>
    <w:p w14:paraId="6F574D82" w14:textId="740CAED3" w:rsidR="00EC0F43" w:rsidRPr="003A46CA" w:rsidRDefault="00EC0F43" w:rsidP="00FC6AA4">
      <w:pPr>
        <w:pStyle w:val="Akapitzlist"/>
        <w:numPr>
          <w:ilvl w:val="0"/>
          <w:numId w:val="35"/>
        </w:numPr>
        <w:autoSpaceDE w:val="0"/>
        <w:autoSpaceDN w:val="0"/>
        <w:adjustRightInd w:val="0"/>
        <w:spacing w:before="120" w:line="360" w:lineRule="auto"/>
        <w:jc w:val="both"/>
      </w:pPr>
      <w:r w:rsidRPr="003A46CA">
        <w:t>wszelkie koncesje lub inne formy powierzenia osobie trzeciej eksploatacji objętej wsparciem infrastruktury ładowania lub tankowania udzielane są zgodnie z zasadami konkurencji, przejrzystości i niedyskryminacji, z należytym poszanowaniem obowiązujących zasad udzielania zamówień.</w:t>
      </w:r>
    </w:p>
    <w:p w14:paraId="7D46C90B" w14:textId="501F2623" w:rsidR="00EC0F43" w:rsidRPr="003A46CA" w:rsidRDefault="00EC0F43" w:rsidP="00FC6AA4">
      <w:pPr>
        <w:pStyle w:val="Akapitzlist"/>
        <w:numPr>
          <w:ilvl w:val="0"/>
          <w:numId w:val="34"/>
        </w:numPr>
        <w:autoSpaceDE w:val="0"/>
        <w:autoSpaceDN w:val="0"/>
        <w:adjustRightInd w:val="0"/>
        <w:spacing w:before="120" w:line="360" w:lineRule="auto"/>
        <w:jc w:val="both"/>
      </w:pPr>
      <w:r w:rsidRPr="003A46CA">
        <w:t xml:space="preserve">konieczności udzielania pomocy na infrastrukturę ładowania lub tankowania należącą do tej samej kategorii, co infrastruktura, na którą ma być przyznana pomoc, jest ustalana ex ante w drodze otwartych konsultacji publicznych lub niezależnego badania rynku, które nie są starsze niż 1 rok w momencie wejścia w życie środka pomocy; </w:t>
      </w:r>
      <w:r w:rsidR="0049486B">
        <w:br/>
      </w:r>
      <w:r w:rsidRPr="003A46CA">
        <w:t>w szczególności ustala się czy inwestycja nie zostanie zrealizowana na zasadach komercyjnych w ciągu 3 lat od wejścia w życie środka pomocy, przy czym warunek ten dotyczy tylko infrastruktury publicznie dostępnej (art. 36a ust. 10</w:t>
      </w:r>
      <w:r w:rsidR="00533AA2">
        <w:t>,</w:t>
      </w:r>
      <w:r w:rsidRPr="003A46CA">
        <w:t xml:space="preserve"> z zastrzeżeniem </w:t>
      </w:r>
      <w:r w:rsidR="00533AA2">
        <w:br/>
      </w:r>
      <w:r w:rsidRPr="003A46CA">
        <w:t>art. 36a ust. 11 rozporządzenia nr 651/2014</w:t>
      </w:r>
      <w:r w:rsidR="00533AA2">
        <w:t>)</w:t>
      </w:r>
      <w:r w:rsidRPr="003A46CA">
        <w:t xml:space="preserve"> – pomoc na infrastrukturę ładowania lub </w:t>
      </w:r>
      <w:r w:rsidRPr="003A46CA">
        <w:lastRenderedPageBreak/>
        <w:t>tankowania pojazdów drogowych jest konieczna wówczas, gdy pojazdy napędzane wyłącznie energią elektryczną (w przypadku infrastruktury ładowania) lub pojazdy napędzane przynajmniej częściowo wodorem (w przypadku infrastruktury tankowania) stanowią odpowiednio mniej niż 3 % całkowitej liczby pojazdów tej samej kategorii zarejestrowanych w danym państwie członkowskim;</w:t>
      </w:r>
    </w:p>
    <w:p w14:paraId="31F535FF" w14:textId="2F6DA2D7" w:rsidR="00EC0F43" w:rsidRPr="003A46CA" w:rsidRDefault="00052D82" w:rsidP="00900499">
      <w:pPr>
        <w:autoSpaceDE w:val="0"/>
        <w:autoSpaceDN w:val="0"/>
        <w:adjustRightInd w:val="0"/>
        <w:spacing w:before="120" w:line="360" w:lineRule="auto"/>
        <w:jc w:val="both"/>
      </w:pPr>
      <w:r w:rsidRPr="003A46CA">
        <w:t>Przepis § 4</w:t>
      </w:r>
      <w:r w:rsidR="00317808">
        <w:t>4</w:t>
      </w:r>
      <w:r w:rsidRPr="003A46CA">
        <w:t xml:space="preserve"> ust. 7 projektu rozporządzenia reguluje kwestie związane z kwalifikowalnością kosztów. W przypadku pomocy inwestycyjnej na infrastrukturę ładowania lub tankowania koszami kwalifikowalnymi są koszty inwestycji związane z budową, instalacją, modernizacją lub rozbudową tej infrastruktury, jak również koszty inwestycji w wytwarzanie na miejscu energii elektrycznej ze źródeł odnawialnych lub wodoru odnawialnego oraz koszty inwestycji w jednostki magazynowania energii elektrycznej ze źródeł odnawialnych lub wodoru odnawialnego.</w:t>
      </w:r>
    </w:p>
    <w:p w14:paraId="0BC2E240" w14:textId="1C0CD6BE" w:rsidR="00052D82" w:rsidRPr="003A46CA" w:rsidRDefault="00052D82" w:rsidP="00900499">
      <w:pPr>
        <w:autoSpaceDE w:val="0"/>
        <w:autoSpaceDN w:val="0"/>
        <w:adjustRightInd w:val="0"/>
        <w:spacing w:before="120" w:line="360" w:lineRule="auto"/>
        <w:jc w:val="both"/>
      </w:pPr>
      <w:r w:rsidRPr="003A46CA">
        <w:t>W § 4</w:t>
      </w:r>
      <w:r w:rsidR="00317808">
        <w:t>5</w:t>
      </w:r>
      <w:r w:rsidRPr="003A46CA">
        <w:t xml:space="preserve"> ust. 1 projektu rozporządzenia określono, że pomoc na infrastrukturę ładowania lub tankowania jest przyznawana w drodze procedury konkurencyjnej, która oprócz warunków określonych w art. 2 pkt 38 rozporządzenia nr 651/2014 spełnia warunki określone w art. 36a ust. 4 lit. a</w:t>
      </w:r>
      <w:r w:rsidR="003A46CA">
        <w:t>-</w:t>
      </w:r>
      <w:r w:rsidRPr="003A46CA">
        <w:t>d rozporządzenia nr 651/2014. W ust. 2 wskazano natomiast, że pomoc na infrastrukturę ładowania lub tankowania może zostać przyznana bez zastosowania procedury konkurencyjnej, na podstawie programu pomocy.</w:t>
      </w:r>
    </w:p>
    <w:p w14:paraId="3B3B27A8" w14:textId="4B614FF1" w:rsidR="00052D82" w:rsidRPr="003A46CA" w:rsidRDefault="00052D82" w:rsidP="00900499">
      <w:pPr>
        <w:autoSpaceDE w:val="0"/>
        <w:autoSpaceDN w:val="0"/>
        <w:adjustRightInd w:val="0"/>
        <w:spacing w:before="120" w:line="360" w:lineRule="auto"/>
        <w:jc w:val="both"/>
      </w:pPr>
      <w:r w:rsidRPr="003A46CA">
        <w:t>W § 4</w:t>
      </w:r>
      <w:r w:rsidR="00317808">
        <w:t>6</w:t>
      </w:r>
      <w:r w:rsidRPr="003A46CA">
        <w:t xml:space="preserve"> projektu rozporządzenia określono dopuszczalne progi intensywności pomocy na infrastrukturę ładowania lub tankowania. Zgodnie z ust. 1, w przypadku zastosowania procedury konkurencyjnej, o której mowa w § 4</w:t>
      </w:r>
      <w:r w:rsidR="00317808">
        <w:t>5</w:t>
      </w:r>
      <w:r w:rsidRPr="003A46CA">
        <w:t xml:space="preserve"> ust. 1 projektu rozporządzenia, może ona wynieść maksymalnie do 100% kosztów kwalifikowalnych. Przepis § 4</w:t>
      </w:r>
      <w:r w:rsidR="00317808">
        <w:t>6</w:t>
      </w:r>
      <w:r w:rsidRPr="003A46CA">
        <w:t xml:space="preserve"> ust. 2 projektu rozporządzenia określa alternatywny sposób zastosowania intensywności pomocy inwestycyjnej w przypadku udzielania pomocy bez procedury konkurencyjnej - maksymalna intensywność pomocy wynosi w tej sytuacji 20% kosztów kwalifikowalnych (§ 4</w:t>
      </w:r>
      <w:r w:rsidR="00317808">
        <w:t>6</w:t>
      </w:r>
      <w:r w:rsidRPr="003A46CA">
        <w:t xml:space="preserve"> ust. 2 pkt 1) i zosta</w:t>
      </w:r>
      <w:r w:rsidR="0049486B">
        <w:t>je</w:t>
      </w:r>
      <w:r w:rsidRPr="003A46CA">
        <w:t xml:space="preserve"> zwiększona o 20 punktów procentowych – w przypadku średnich przedsiębiorstw </w:t>
      </w:r>
      <w:r w:rsidR="00533AA2">
        <w:br/>
      </w:r>
      <w:r w:rsidRPr="003A46CA">
        <w:t>lub 30 punktów procentowych w przypadku mikroprzedsiębiorców i małych przedsiębiorców (§ 4</w:t>
      </w:r>
      <w:r w:rsidR="00317808">
        <w:t>6</w:t>
      </w:r>
      <w:r w:rsidRPr="003A46CA">
        <w:t xml:space="preserve"> ust. 2 pkt 2). Dodatkowo maksymaln</w:t>
      </w:r>
      <w:r w:rsidR="0049486B">
        <w:t>ą</w:t>
      </w:r>
      <w:r w:rsidRPr="003A46CA">
        <w:t xml:space="preserve"> intensywność pomocy ć zwiększ</w:t>
      </w:r>
      <w:r w:rsidR="0049486B">
        <w:t>a się</w:t>
      </w:r>
      <w:r w:rsidRPr="003A46CA">
        <w:t xml:space="preserve"> w sytuacji gdy inwestycja jest realizowana na obszarze objętym pomocą (obszary określone w mapie pomocy regionalnej na okres od dnia 1 stycznia 2022 r. do dnia 31 grudnia 2027 r. </w:t>
      </w:r>
      <w:r w:rsidR="00533AA2">
        <w:br/>
      </w:r>
      <w:r w:rsidRPr="003A46CA">
        <w:t xml:space="preserve">w zastosowaniu art. 107 ust. 3 lit. a i c TFUE) o odpowiednio 15 punktów procentowych </w:t>
      </w:r>
      <w:r w:rsidR="00533AA2">
        <w:br/>
      </w:r>
      <w:r w:rsidRPr="003A46CA">
        <w:t xml:space="preserve">w przypadku obszarów spełniających warunki wskazane w art. 107 ust. 3 lit. a TFUE (zgodnie z obowiązującą mapą pomocy regionalnej do obszarów typu „a” w Polsce zaliczane będą </w:t>
      </w:r>
      <w:r w:rsidRPr="003A46CA">
        <w:lastRenderedPageBreak/>
        <w:t xml:space="preserve">obszary województw: kujawsko-pomorskiego, lubelskiego, lubuskiego, łódzkiego, małopolskiego, opolskiego, podkarpackiego, podlaskiego, pomorskiego, śląskiego, świętokrzyskiego, warmińsko-mazurskiego i zachodniopomorskiego oraz regionu mazowieckiego regionalnego) albo o 5 punktów procentowych w przypadku obszarów spełniających warunki wskazane w art. 107 ust. 3 lit. c TFUE (zgodnie z obowiązującą mapą pomocy regionalnej do obszarów typu „c” w Polsce zaliczane będą obszary województw: dolnośląskiego i wielkopolskiego oraz region warszawski stołeczny na obszarze gmin: Baranów, Błonie, Dąbrówka, Dobre, Góra Kalwaria, Grodzisk Mazowiecki, Jadów, Jaktorów, Kałuszyn, Kampinos, Kołbiel, Latowicz, Leoncin, Leszno, Mrozy, Nasielsk, Osieck, Prażmów, Serock, Siennica, Sobienie-Jeziory, Strachówka, Tarczyn, Tłuszcz, Zakroczym i Żabia Wola) - § </w:t>
      </w:r>
      <w:r w:rsidR="005977A5" w:rsidRPr="003A46CA">
        <w:t>4</w:t>
      </w:r>
      <w:r w:rsidR="0049486B">
        <w:t>6</w:t>
      </w:r>
      <w:r w:rsidRPr="003A46CA">
        <w:t xml:space="preserve"> ust. 2 pkt 3 projektu rozporządzenia.</w:t>
      </w:r>
    </w:p>
    <w:p w14:paraId="5D0FAE5D" w14:textId="5FAD7A09" w:rsidR="00EC0F43" w:rsidRPr="003A46CA" w:rsidRDefault="005977A5" w:rsidP="00900499">
      <w:pPr>
        <w:autoSpaceDE w:val="0"/>
        <w:autoSpaceDN w:val="0"/>
        <w:adjustRightInd w:val="0"/>
        <w:spacing w:before="120" w:line="360" w:lineRule="auto"/>
        <w:jc w:val="both"/>
      </w:pPr>
      <w:r w:rsidRPr="003A46CA">
        <w:t>W § 4</w:t>
      </w:r>
      <w:r w:rsidR="00317808">
        <w:t>7</w:t>
      </w:r>
      <w:r w:rsidRPr="003A46CA">
        <w:t xml:space="preserve"> projektu rozporządzenia wskazano, że pomoc publiczna, o której mowa w niniejszym przepisie nie będzie udzielana w przypadku pomocy na inwestycje związane z infrastrukturą ładowania i tankowania w portach (art. 36a ust. 2 zdanie trzecie rozporządzenia nr 651/2014)</w:t>
      </w:r>
      <w:r w:rsidR="0049486B">
        <w:t xml:space="preserve">, a także </w:t>
      </w:r>
      <w:r w:rsidR="0049486B" w:rsidRPr="0049486B">
        <w:t xml:space="preserve">na projekty o dużych rozmiarach i znaczącej wartości pomocy przyznanej na ich wsparcie, tj. powyżej limitów określonych w art. 4 ust. 1 lit. </w:t>
      </w:r>
      <w:r w:rsidR="0049486B">
        <w:t>sb</w:t>
      </w:r>
      <w:r w:rsidR="0049486B" w:rsidRPr="0049486B">
        <w:t xml:space="preserve"> rozporządzenia nr 651/2014</w:t>
      </w:r>
      <w:r w:rsidRPr="003A46CA">
        <w:t>.</w:t>
      </w:r>
    </w:p>
    <w:p w14:paraId="771B4D44" w14:textId="4242E94E" w:rsidR="00E409CC" w:rsidRPr="003A46CA" w:rsidRDefault="00E409CC" w:rsidP="00900499">
      <w:pPr>
        <w:autoSpaceDE w:val="0"/>
        <w:autoSpaceDN w:val="0"/>
        <w:adjustRightInd w:val="0"/>
        <w:spacing w:before="120" w:line="360" w:lineRule="auto"/>
        <w:jc w:val="both"/>
      </w:pPr>
      <w:r w:rsidRPr="003A46CA">
        <w:t>W</w:t>
      </w:r>
      <w:r w:rsidR="00E03F7C" w:rsidRPr="003A46CA">
        <w:t xml:space="preserve"> </w:t>
      </w:r>
      <w:r w:rsidRPr="003A46CA">
        <w:t>rozdziale 1</w:t>
      </w:r>
      <w:r w:rsidR="00A57BB8" w:rsidRPr="003A46CA">
        <w:t>4</w:t>
      </w:r>
      <w:r w:rsidRPr="003A46CA">
        <w:t xml:space="preserve"> uregulowano zasady przyznawania pomocy de minimis. </w:t>
      </w:r>
    </w:p>
    <w:p w14:paraId="49194B13" w14:textId="1D2F864F" w:rsidR="00AD0B64" w:rsidRPr="003A46CA" w:rsidRDefault="00E409CC" w:rsidP="00900499">
      <w:pPr>
        <w:autoSpaceDE w:val="0"/>
        <w:autoSpaceDN w:val="0"/>
        <w:adjustRightInd w:val="0"/>
        <w:spacing w:before="120" w:line="360" w:lineRule="auto"/>
        <w:jc w:val="both"/>
      </w:pPr>
      <w:r w:rsidRPr="003A46CA">
        <w:t xml:space="preserve">W § </w:t>
      </w:r>
      <w:r w:rsidR="00A57BB8" w:rsidRPr="003A46CA">
        <w:t>4</w:t>
      </w:r>
      <w:r w:rsidR="00317808">
        <w:t>8</w:t>
      </w:r>
      <w:r w:rsidRPr="003A46CA">
        <w:t xml:space="preserve"> projektu wskazano podmioty, którym może zostać udzielona pomoc de minimis. Zawarto również odesłanie do przepisów, które wyłączają określony krąg podmiotów z możliwości otrzymania pomocy de minim</w:t>
      </w:r>
      <w:r w:rsidR="001F01C0" w:rsidRPr="003A46CA">
        <w:t>i</w:t>
      </w:r>
      <w:r w:rsidRPr="003A46CA">
        <w:t xml:space="preserve">s, to jest do art. 1 rozporządzenia Komisji (UE) nr </w:t>
      </w:r>
      <w:r w:rsidR="00A57BB8" w:rsidRPr="003A46CA">
        <w:t>2023/2831</w:t>
      </w:r>
      <w:r w:rsidRPr="003A46CA">
        <w:t>.</w:t>
      </w:r>
    </w:p>
    <w:p w14:paraId="54445250" w14:textId="434052C6" w:rsidR="00900499" w:rsidRPr="003A46CA" w:rsidRDefault="00900499" w:rsidP="00900499">
      <w:pPr>
        <w:autoSpaceDE w:val="0"/>
        <w:autoSpaceDN w:val="0"/>
        <w:adjustRightInd w:val="0"/>
        <w:spacing w:before="120" w:line="360" w:lineRule="auto"/>
        <w:jc w:val="both"/>
      </w:pPr>
      <w:r w:rsidRPr="003A46CA">
        <w:t xml:space="preserve">W § </w:t>
      </w:r>
      <w:r w:rsidR="00A57BB8" w:rsidRPr="003A46CA">
        <w:t>4</w:t>
      </w:r>
      <w:r w:rsidR="00317808">
        <w:t>9</w:t>
      </w:r>
      <w:r w:rsidR="000A7D68" w:rsidRPr="003A46CA">
        <w:t xml:space="preserve"> ust. 1 </w:t>
      </w:r>
      <w:r w:rsidR="00A361C7" w:rsidRPr="003A46CA">
        <w:t xml:space="preserve">projektu rozporządzenia </w:t>
      </w:r>
      <w:r w:rsidRPr="003A46CA">
        <w:t>wskazano, że pomoc de minimis może być udzielona przedsiębiorcy na pokrycie części albo całości kosztów kwalifikowalnych.</w:t>
      </w:r>
    </w:p>
    <w:p w14:paraId="73AD86F7" w14:textId="15B45A1D" w:rsidR="00A361C7" w:rsidRPr="003A46CA" w:rsidRDefault="00900499" w:rsidP="00A361C7">
      <w:pPr>
        <w:autoSpaceDE w:val="0"/>
        <w:autoSpaceDN w:val="0"/>
        <w:adjustRightInd w:val="0"/>
        <w:spacing w:before="120" w:line="360" w:lineRule="auto"/>
        <w:jc w:val="both"/>
      </w:pPr>
      <w:r w:rsidRPr="003A46CA">
        <w:t>§</w:t>
      </w:r>
      <w:r w:rsidR="000A7D68" w:rsidRPr="003A46CA">
        <w:t xml:space="preserve"> </w:t>
      </w:r>
      <w:r w:rsidR="00A57BB8" w:rsidRPr="003A46CA">
        <w:t>4</w:t>
      </w:r>
      <w:r w:rsidR="00317808">
        <w:t>9</w:t>
      </w:r>
      <w:r w:rsidRPr="003A46CA">
        <w:t xml:space="preserve"> ust. </w:t>
      </w:r>
      <w:r w:rsidR="0056052A" w:rsidRPr="003A46CA">
        <w:t>2</w:t>
      </w:r>
      <w:r w:rsidRPr="003A46CA">
        <w:t xml:space="preserve"> projektu rozporządzenia określa wartość dopuszczalnej pomocy odsyłając do przepisów rozporządzenia nr </w:t>
      </w:r>
      <w:r w:rsidR="00A57BB8" w:rsidRPr="003A46CA">
        <w:t>2023/2831</w:t>
      </w:r>
      <w:r w:rsidRPr="003A46CA">
        <w:t xml:space="preserve"> w tym zakresie.</w:t>
      </w:r>
      <w:r w:rsidR="00A361C7" w:rsidRPr="003A46CA">
        <w:t xml:space="preserve"> </w:t>
      </w:r>
    </w:p>
    <w:p w14:paraId="025140FA" w14:textId="4E3BB476" w:rsidR="00900499" w:rsidRPr="003A46CA" w:rsidRDefault="00A361C7" w:rsidP="00A361C7">
      <w:pPr>
        <w:autoSpaceDE w:val="0"/>
        <w:autoSpaceDN w:val="0"/>
        <w:adjustRightInd w:val="0"/>
        <w:spacing w:before="120" w:line="360" w:lineRule="auto"/>
        <w:jc w:val="both"/>
      </w:pPr>
      <w:r w:rsidRPr="003A46CA">
        <w:t xml:space="preserve">W § </w:t>
      </w:r>
      <w:r w:rsidR="00317808">
        <w:t>50</w:t>
      </w:r>
      <w:r w:rsidRPr="003A46CA">
        <w:t xml:space="preserve"> projektu </w:t>
      </w:r>
      <w:r w:rsidR="00992583" w:rsidRPr="003A46CA">
        <w:t>określono</w:t>
      </w:r>
      <w:r w:rsidRPr="003A46CA">
        <w:t xml:space="preserve"> dokumenty wymagane w trakcie złożenia wniosku o udzielenie pomocy de minimis, stanowiące podstawę do oceny prawidłowości udzielonej pomocy.</w:t>
      </w:r>
    </w:p>
    <w:p w14:paraId="295A2680" w14:textId="27C7EFF0" w:rsidR="0002401E" w:rsidRPr="003A46CA" w:rsidRDefault="0002401E" w:rsidP="003A251D">
      <w:pPr>
        <w:autoSpaceDE w:val="0"/>
        <w:autoSpaceDN w:val="0"/>
        <w:adjustRightInd w:val="0"/>
        <w:spacing w:before="120" w:line="360" w:lineRule="auto"/>
        <w:jc w:val="both"/>
      </w:pPr>
      <w:r w:rsidRPr="003A46CA">
        <w:t>W</w:t>
      </w:r>
      <w:r w:rsidR="00E03F7C" w:rsidRPr="003A46CA">
        <w:t xml:space="preserve"> </w:t>
      </w:r>
      <w:r w:rsidRPr="003A46CA">
        <w:t>rozdziale 1</w:t>
      </w:r>
      <w:r w:rsidR="00A57BB8" w:rsidRPr="003A46CA">
        <w:t>5</w:t>
      </w:r>
      <w:r w:rsidRPr="003A46CA">
        <w:t xml:space="preserve"> uregulowano zasady przyznawania pomocy de minimis na usługi świadczone w ogólnym interesie gospodarczym. </w:t>
      </w:r>
    </w:p>
    <w:p w14:paraId="0283D7C4" w14:textId="6386EE6D" w:rsidR="0002401E" w:rsidRPr="003A46CA" w:rsidRDefault="0002401E" w:rsidP="003A251D">
      <w:pPr>
        <w:autoSpaceDE w:val="0"/>
        <w:autoSpaceDN w:val="0"/>
        <w:adjustRightInd w:val="0"/>
        <w:spacing w:before="120" w:line="360" w:lineRule="auto"/>
        <w:jc w:val="both"/>
      </w:pPr>
      <w:r w:rsidRPr="003A46CA">
        <w:t xml:space="preserve">W § </w:t>
      </w:r>
      <w:r w:rsidR="00A57BB8" w:rsidRPr="003A46CA">
        <w:t>5</w:t>
      </w:r>
      <w:r w:rsidR="00317808">
        <w:t>1</w:t>
      </w:r>
      <w:r w:rsidRPr="003A46CA">
        <w:t xml:space="preserve"> projektu wskazano podmioty, którym może zostać udzielona pomoc de minimis. Zawarto również odesłanie do przepisów, które wyłączają określony krąg podmiotów z </w:t>
      </w:r>
      <w:r w:rsidRPr="003A46CA">
        <w:lastRenderedPageBreak/>
        <w:t>możliwości otrzymania pomocy de minim</w:t>
      </w:r>
      <w:r w:rsidR="001F01C0" w:rsidRPr="003A46CA">
        <w:t>i</w:t>
      </w:r>
      <w:r w:rsidRPr="003A46CA">
        <w:t xml:space="preserve">s na usługi świadczone w ogólnym interesie gospodarczym, to jest do art. 1 rozporządzenia nr </w:t>
      </w:r>
      <w:r w:rsidR="00A57BB8" w:rsidRPr="003A46CA">
        <w:t>2023/2832</w:t>
      </w:r>
      <w:r w:rsidRPr="003A46CA">
        <w:t>.</w:t>
      </w:r>
    </w:p>
    <w:p w14:paraId="16F936D3" w14:textId="4A75CA73" w:rsidR="0002401E" w:rsidRPr="003A46CA" w:rsidRDefault="0002401E" w:rsidP="003A251D">
      <w:pPr>
        <w:autoSpaceDE w:val="0"/>
        <w:autoSpaceDN w:val="0"/>
        <w:adjustRightInd w:val="0"/>
        <w:spacing w:before="120" w:line="360" w:lineRule="auto"/>
        <w:jc w:val="both"/>
      </w:pPr>
      <w:r w:rsidRPr="003A46CA">
        <w:t xml:space="preserve">W § </w:t>
      </w:r>
      <w:r w:rsidR="00A57BB8" w:rsidRPr="003A46CA">
        <w:t>5</w:t>
      </w:r>
      <w:r w:rsidR="00317808">
        <w:t>2</w:t>
      </w:r>
      <w:r w:rsidRPr="003A46CA">
        <w:t xml:space="preserve"> ust. 1 projektu rozporządzenia wskazano, że pomoc de minimis na usługi świadczone w ogólnym interesie gospodarczym może być udzielona przedsiębiorcy na pokrycie części albo całości kosztów kwalifikowalnych.</w:t>
      </w:r>
    </w:p>
    <w:p w14:paraId="5E936E27" w14:textId="23E48B79" w:rsidR="0002401E" w:rsidRPr="003A46CA" w:rsidRDefault="0002401E" w:rsidP="003A251D">
      <w:pPr>
        <w:autoSpaceDE w:val="0"/>
        <w:autoSpaceDN w:val="0"/>
        <w:adjustRightInd w:val="0"/>
        <w:spacing w:before="120" w:line="360" w:lineRule="auto"/>
        <w:jc w:val="both"/>
      </w:pPr>
      <w:r w:rsidRPr="003A46CA">
        <w:t xml:space="preserve">§ </w:t>
      </w:r>
      <w:r w:rsidR="00A57BB8" w:rsidRPr="003A46CA">
        <w:t>5</w:t>
      </w:r>
      <w:r w:rsidR="00317808">
        <w:t>2</w:t>
      </w:r>
      <w:r w:rsidRPr="003A46CA">
        <w:t xml:space="preserve"> ust. </w:t>
      </w:r>
      <w:r w:rsidR="0056052A" w:rsidRPr="003A46CA">
        <w:t>2</w:t>
      </w:r>
      <w:r w:rsidRPr="003A46CA">
        <w:t xml:space="preserve"> projektu rozporządzenia określa wartość dopuszczalnej pomocy odsyłając do przepisów rozporządzenia nr </w:t>
      </w:r>
      <w:r w:rsidR="00A57BB8" w:rsidRPr="003A46CA">
        <w:t>2023/2832</w:t>
      </w:r>
      <w:r w:rsidRPr="003A46CA">
        <w:t xml:space="preserve"> w tym zakresie. </w:t>
      </w:r>
    </w:p>
    <w:p w14:paraId="0AE364F8" w14:textId="11C777CD" w:rsidR="0002401E" w:rsidRPr="003A46CA" w:rsidRDefault="0002401E" w:rsidP="003A251D">
      <w:pPr>
        <w:autoSpaceDE w:val="0"/>
        <w:autoSpaceDN w:val="0"/>
        <w:adjustRightInd w:val="0"/>
        <w:spacing w:before="120" w:line="360" w:lineRule="auto"/>
        <w:jc w:val="both"/>
      </w:pPr>
      <w:r w:rsidRPr="003A46CA">
        <w:t xml:space="preserve">W § </w:t>
      </w:r>
      <w:r w:rsidR="00A57BB8" w:rsidRPr="003A46CA">
        <w:t>5</w:t>
      </w:r>
      <w:r w:rsidR="00317808">
        <w:t>3</w:t>
      </w:r>
      <w:r w:rsidRPr="003A46CA">
        <w:t xml:space="preserve"> projektu </w:t>
      </w:r>
      <w:r w:rsidR="00992583" w:rsidRPr="003A46CA">
        <w:t>określono</w:t>
      </w:r>
      <w:r w:rsidRPr="003A46CA">
        <w:t xml:space="preserve"> dokumenty wymagane w trakcie złożenia wniosku o udzielenie pomocy de minimis na usługi świadczone w ogólnym interesie gospodarczym, stanowiące podstawę do oceny prawidłowości udzielonej pomocy.</w:t>
      </w:r>
    </w:p>
    <w:p w14:paraId="4CCC6100" w14:textId="2C4BBAF5" w:rsidR="00D36DD6" w:rsidRPr="003A46CA" w:rsidRDefault="00623233" w:rsidP="003A251D">
      <w:pPr>
        <w:autoSpaceDE w:val="0"/>
        <w:autoSpaceDN w:val="0"/>
        <w:adjustRightInd w:val="0"/>
        <w:spacing w:before="120" w:line="360" w:lineRule="auto"/>
        <w:jc w:val="both"/>
      </w:pPr>
      <w:r w:rsidRPr="003A46CA">
        <w:t>W §</w:t>
      </w:r>
      <w:r w:rsidR="000A7D68" w:rsidRPr="003A46CA">
        <w:t xml:space="preserve"> </w:t>
      </w:r>
      <w:r w:rsidR="00A57BB8" w:rsidRPr="003A46CA">
        <w:t>5</w:t>
      </w:r>
      <w:r w:rsidR="00317808">
        <w:t>4</w:t>
      </w:r>
      <w:r w:rsidR="000A7D68" w:rsidRPr="003A46CA">
        <w:t xml:space="preserve"> ust. 1</w:t>
      </w:r>
      <w:r w:rsidRPr="003A46CA">
        <w:t xml:space="preserve"> </w:t>
      </w:r>
      <w:r w:rsidR="00F84D28" w:rsidRPr="003A46CA">
        <w:t xml:space="preserve">projektu rozporządzenia określono okres udzielania pomocy na podstawie projektowanego rozporządzenia. Termin ten jest spójny z unijnym prawem w zakresie pomocy państwa. </w:t>
      </w:r>
      <w:r w:rsidR="00D36DD6" w:rsidRPr="003A46CA">
        <w:t>Zgodnie z art. 58 ust. 4 zdanie pierwsze rozporządzenia nr 651/2014, programy pomocy wyłączone na mocy tego rozporządzenia obowiązują jeszcze przez sześciomiesięczny okres dostosowawczy od daty końca obowiązywania tego rozporządzenia. Zgodnie z art. 59 rozporządzenia nr 651/2014 rozporządzenie stosuje się do dnia 31 grudnia 2026 r., a więc wydane na jego podstawie akty prawa krajowego mogą obowiązywać do dnia 30 czerwca 2027 r.</w:t>
      </w:r>
    </w:p>
    <w:p w14:paraId="7166C1F1" w14:textId="7050076B" w:rsidR="00A663EE" w:rsidRPr="003A46CA" w:rsidRDefault="00A663EE" w:rsidP="003A251D">
      <w:pPr>
        <w:autoSpaceDE w:val="0"/>
        <w:autoSpaceDN w:val="0"/>
        <w:adjustRightInd w:val="0"/>
        <w:spacing w:before="120" w:line="360" w:lineRule="auto"/>
        <w:jc w:val="both"/>
      </w:pPr>
      <w:r w:rsidRPr="003A46CA">
        <w:t xml:space="preserve">W § </w:t>
      </w:r>
      <w:r w:rsidR="00A57BB8" w:rsidRPr="003A46CA">
        <w:t>5</w:t>
      </w:r>
      <w:r w:rsidR="00317808">
        <w:t>4</w:t>
      </w:r>
      <w:r w:rsidRPr="003A46CA">
        <w:t xml:space="preserve"> ust. 2 </w:t>
      </w:r>
      <w:r w:rsidR="0002401E" w:rsidRPr="003A46CA">
        <w:t xml:space="preserve">i ust. 3 </w:t>
      </w:r>
      <w:r w:rsidRPr="003A46CA">
        <w:t>określono okres</w:t>
      </w:r>
      <w:r w:rsidR="0002401E" w:rsidRPr="003A46CA">
        <w:t>y</w:t>
      </w:r>
      <w:r w:rsidRPr="003A46CA">
        <w:t xml:space="preserve"> udzielania pomocy de minimis </w:t>
      </w:r>
      <w:r w:rsidR="0002401E" w:rsidRPr="003A46CA">
        <w:t xml:space="preserve">oraz pomocy de minimis na usługi świadczone w ogólnym interesie gospodarczym </w:t>
      </w:r>
      <w:r w:rsidRPr="003A46CA">
        <w:t>na podstawie projektowanego rozporządzenia. Termin</w:t>
      </w:r>
      <w:r w:rsidR="0002401E" w:rsidRPr="003A46CA">
        <w:t>y</w:t>
      </w:r>
      <w:r w:rsidRPr="003A46CA">
        <w:t xml:space="preserve"> te</w:t>
      </w:r>
      <w:r w:rsidR="0002401E" w:rsidRPr="003A46CA">
        <w:t xml:space="preserve"> są</w:t>
      </w:r>
      <w:r w:rsidRPr="003A46CA">
        <w:t xml:space="preserve"> spójn</w:t>
      </w:r>
      <w:r w:rsidR="0002401E" w:rsidRPr="003A46CA">
        <w:t>e</w:t>
      </w:r>
      <w:r w:rsidRPr="003A46CA">
        <w:t xml:space="preserve"> z unijnym prawem w zakresie pomocy państwa.</w:t>
      </w:r>
    </w:p>
    <w:p w14:paraId="114F0A25" w14:textId="49397979" w:rsidR="003D276D" w:rsidRPr="003A46CA" w:rsidRDefault="004A3BD6" w:rsidP="003A251D">
      <w:pPr>
        <w:autoSpaceDE w:val="0"/>
        <w:autoSpaceDN w:val="0"/>
        <w:adjustRightInd w:val="0"/>
        <w:spacing w:before="120" w:line="360" w:lineRule="auto"/>
        <w:jc w:val="both"/>
      </w:pPr>
      <w:r w:rsidRPr="003A46CA">
        <w:t xml:space="preserve">W </w:t>
      </w:r>
      <w:r w:rsidR="00623233" w:rsidRPr="003A46CA">
        <w:t xml:space="preserve">§ </w:t>
      </w:r>
      <w:r w:rsidR="00A57BB8" w:rsidRPr="003A46CA">
        <w:t>5</w:t>
      </w:r>
      <w:r w:rsidR="00317808">
        <w:t>5</w:t>
      </w:r>
      <w:r w:rsidR="00623233" w:rsidRPr="003A46CA">
        <w:t xml:space="preserve"> </w:t>
      </w:r>
      <w:r w:rsidRPr="003A46CA">
        <w:t xml:space="preserve">określono </w:t>
      </w:r>
      <w:r w:rsidR="003D276D" w:rsidRPr="003A46CA">
        <w:t xml:space="preserve">termin wejścia w życie projektowanego rozporządzenia. Proponuje się, żeby projektowane rozporządzenie weszło w życie </w:t>
      </w:r>
      <w:r w:rsidR="00B14A31" w:rsidRPr="003A46CA">
        <w:t xml:space="preserve">po upływie 14 dni od </w:t>
      </w:r>
      <w:r w:rsidR="00EE6C0D" w:rsidRPr="003A46CA">
        <w:t>dni</w:t>
      </w:r>
      <w:r w:rsidR="00B14A31" w:rsidRPr="003A46CA">
        <w:t>a</w:t>
      </w:r>
      <w:r w:rsidR="00EE6C0D" w:rsidRPr="003A46CA">
        <w:t xml:space="preserve"> ogłoszenia</w:t>
      </w:r>
      <w:r w:rsidR="003D276D" w:rsidRPr="003A46CA">
        <w:t>.</w:t>
      </w:r>
    </w:p>
    <w:p w14:paraId="5A0B7F0C" w14:textId="77777777" w:rsidR="00110F47" w:rsidRPr="003A46CA" w:rsidRDefault="00110F47" w:rsidP="003D276D">
      <w:pPr>
        <w:autoSpaceDE w:val="0"/>
        <w:autoSpaceDN w:val="0"/>
        <w:adjustRightInd w:val="0"/>
        <w:spacing w:before="120" w:line="360" w:lineRule="auto"/>
        <w:jc w:val="both"/>
      </w:pPr>
      <w:r w:rsidRPr="003A46CA">
        <w:t xml:space="preserve">Projekt rozporządzenia </w:t>
      </w:r>
      <w:r w:rsidR="005F032C" w:rsidRPr="003A46CA">
        <w:t>jest zgodny</w:t>
      </w:r>
      <w:r w:rsidRPr="003A46CA">
        <w:t xml:space="preserve"> z prawem Unii Europejskiej</w:t>
      </w:r>
      <w:r w:rsidR="00174413" w:rsidRPr="003A46CA">
        <w:t>.</w:t>
      </w:r>
    </w:p>
    <w:p w14:paraId="0615CDEC" w14:textId="520A47A6" w:rsidR="000047C9" w:rsidRPr="003A46CA" w:rsidRDefault="00110F47" w:rsidP="003A251D">
      <w:pPr>
        <w:autoSpaceDE w:val="0"/>
        <w:autoSpaceDN w:val="0"/>
        <w:adjustRightInd w:val="0"/>
        <w:spacing w:before="120" w:line="360" w:lineRule="auto"/>
        <w:jc w:val="both"/>
      </w:pPr>
      <w:r w:rsidRPr="003A46CA">
        <w:t>Rozporządzenie nie zawiera przepisów technicznych w rozumieniu rozporządzenia Rady Ministrów</w:t>
      </w:r>
      <w:r w:rsidR="00E03F7C" w:rsidRPr="003A46CA">
        <w:t xml:space="preserve"> </w:t>
      </w:r>
      <w:r w:rsidRPr="003A46CA">
        <w:t>z dnia 23 grudnia 2002 r. w sprawie sposobu funkcjonowania krajowego systemu notyfikacji norm</w:t>
      </w:r>
      <w:r w:rsidR="00E03F7C" w:rsidRPr="003A46CA">
        <w:t xml:space="preserve"> </w:t>
      </w:r>
      <w:r w:rsidRPr="003A46CA">
        <w:t>i aktów prawnych</w:t>
      </w:r>
      <w:r w:rsidR="003D276D" w:rsidRPr="003A46CA">
        <w:t xml:space="preserve"> (Dz. U. poz. 2039 oraz z 2004 r. poz. 597)</w:t>
      </w:r>
      <w:r w:rsidRPr="003A46CA">
        <w:t xml:space="preserve"> i nie podlega notyfikacji Komis</w:t>
      </w:r>
      <w:r w:rsidR="000047C9" w:rsidRPr="003A46CA">
        <w:t>ji Europejskiej w tym zakresie.</w:t>
      </w:r>
    </w:p>
    <w:p w14:paraId="1B7108FC" w14:textId="00773D71" w:rsidR="007B6900" w:rsidRPr="003A46CA" w:rsidRDefault="007B6900" w:rsidP="00E44C0D">
      <w:pPr>
        <w:autoSpaceDE w:val="0"/>
        <w:autoSpaceDN w:val="0"/>
        <w:adjustRightInd w:val="0"/>
        <w:spacing w:before="120" w:line="360" w:lineRule="auto"/>
        <w:jc w:val="both"/>
      </w:pPr>
      <w:r w:rsidRPr="003A46CA">
        <w:t xml:space="preserve">Projektowane rozporządzenie nie wymaga notyfikacji Komisji Europejskiej w trybie ustawy z dnia 30 kwietnia 2004 r. o postępowaniu w sprawach dotyczących pomocy publicznej. Projektowane rozporządzenie jest zgodne z obowiązującymi regulacjami Unii Europejskiej w </w:t>
      </w:r>
      <w:r w:rsidRPr="003A46CA">
        <w:lastRenderedPageBreak/>
        <w:t xml:space="preserve">tym zakresie. Zgodnie z art. 11 ust. 1 lit. a rozporządzenia nr 651/2014 konieczne będzie przekazanie Komisji Europejskiej, w terminie 20 dni roboczych od dnia wejścia w życie projektowanego rozporządzenia, skróconych informacji na temat przedmiotowego programu pomocowego. </w:t>
      </w:r>
    </w:p>
    <w:p w14:paraId="31F354D3" w14:textId="4E5D0E58" w:rsidR="00B91B02" w:rsidRPr="003A46CA" w:rsidRDefault="007B6900" w:rsidP="00CE5EB5">
      <w:pPr>
        <w:autoSpaceDE w:val="0"/>
        <w:autoSpaceDN w:val="0"/>
        <w:adjustRightInd w:val="0"/>
        <w:spacing w:before="120" w:line="360" w:lineRule="auto"/>
        <w:jc w:val="both"/>
      </w:pPr>
      <w:r w:rsidRPr="003A46CA">
        <w:t xml:space="preserve">Projekt nie podlega przedstawieniu właściwym organom i instytucjom Unii Europejskiej, w tym Europejskiemu Bankowi Centralnemu, w celu uzyskania opinii, dokonania powiadomienia, konsultacji albo uzgodnienia. </w:t>
      </w:r>
    </w:p>
    <w:p w14:paraId="62FC1551" w14:textId="6522B258" w:rsidR="00D36DD6" w:rsidRPr="003A46CA" w:rsidRDefault="00D36DD6" w:rsidP="00CE5EB5">
      <w:pPr>
        <w:autoSpaceDE w:val="0"/>
        <w:autoSpaceDN w:val="0"/>
        <w:adjustRightInd w:val="0"/>
        <w:spacing w:before="120" w:line="360" w:lineRule="auto"/>
        <w:jc w:val="both"/>
      </w:pPr>
      <w:r w:rsidRPr="003A46CA">
        <w:t>Zgodnie z art. 5 ustawy z dnia 7 lipca 2005 r. o działalności lobbingowej w procesie stanowienia prawa (Dz. U. z 2017 r. poz. 248) projektowane rozporządzenie zostało udostępnione w Biuletynie Informacji Publicznej Ministerstwa Funduszy i Polityki Regionalnej z chwilą przekazania projektu do uzgodnień z członkami Rady Ministrów. Ponadto, projekt został udostępniony na stronie podmiotowej Rządowego Centrum Legislacji, w serwisie Rządowy Proces Legislacyjny.</w:t>
      </w:r>
    </w:p>
    <w:sectPr w:rsidR="00D36DD6" w:rsidRPr="003A46CA" w:rsidSect="00E03F7C">
      <w:footerReference w:type="default" r:id="rId8"/>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F907A" w14:textId="77777777" w:rsidR="008759C5" w:rsidRDefault="008759C5" w:rsidP="00623233">
      <w:r>
        <w:separator/>
      </w:r>
    </w:p>
  </w:endnote>
  <w:endnote w:type="continuationSeparator" w:id="0">
    <w:p w14:paraId="2AC8BDFC" w14:textId="77777777" w:rsidR="008759C5" w:rsidRDefault="008759C5" w:rsidP="0062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859808"/>
      <w:docPartObj>
        <w:docPartGallery w:val="Page Numbers (Bottom of Page)"/>
        <w:docPartUnique/>
      </w:docPartObj>
    </w:sdtPr>
    <w:sdtEndPr/>
    <w:sdtContent>
      <w:p w14:paraId="06573F80" w14:textId="77777777" w:rsidR="00EC4DAE" w:rsidRDefault="00F5167E">
        <w:pPr>
          <w:pStyle w:val="Stopka"/>
          <w:jc w:val="right"/>
        </w:pPr>
        <w:r>
          <w:fldChar w:fldCharType="begin"/>
        </w:r>
        <w:r w:rsidR="00EC4DAE">
          <w:instrText>PAGE   \* MERGEFORMAT</w:instrText>
        </w:r>
        <w:r>
          <w:fldChar w:fldCharType="separate"/>
        </w:r>
        <w:r w:rsidR="005E5CB6">
          <w:rPr>
            <w:noProof/>
          </w:rPr>
          <w:t>3</w:t>
        </w:r>
        <w:r>
          <w:fldChar w:fldCharType="end"/>
        </w:r>
      </w:p>
    </w:sdtContent>
  </w:sdt>
  <w:p w14:paraId="5C2BB863" w14:textId="77777777" w:rsidR="00EC4DAE" w:rsidRDefault="00EC4D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17BC5" w14:textId="77777777" w:rsidR="008759C5" w:rsidRDefault="008759C5" w:rsidP="00623233">
      <w:r>
        <w:separator/>
      </w:r>
    </w:p>
  </w:footnote>
  <w:footnote w:type="continuationSeparator" w:id="0">
    <w:p w14:paraId="65C5DCB1" w14:textId="77777777" w:rsidR="008759C5" w:rsidRDefault="008759C5" w:rsidP="00623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1790"/>
    <w:multiLevelType w:val="hybridMultilevel"/>
    <w:tmpl w:val="24288E9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BD35360"/>
    <w:multiLevelType w:val="hybridMultilevel"/>
    <w:tmpl w:val="5FF832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E89A1B30">
      <w:start w:val="1"/>
      <w:numFmt w:val="bullet"/>
      <w:lvlText w:val="•"/>
      <w:lvlJc w:val="left"/>
      <w:pPr>
        <w:ind w:left="2685" w:hanging="705"/>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1348BE"/>
    <w:multiLevelType w:val="hybridMultilevel"/>
    <w:tmpl w:val="D6A877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B276DF"/>
    <w:multiLevelType w:val="hybridMultilevel"/>
    <w:tmpl w:val="F64C4D40"/>
    <w:lvl w:ilvl="0" w:tplc="04150017">
      <w:start w:val="1"/>
      <w:numFmt w:val="lowerLetter"/>
      <w:lvlText w:val="%1)"/>
      <w:lvlJc w:val="left"/>
      <w:pPr>
        <w:ind w:left="720" w:hanging="360"/>
      </w:pPr>
    </w:lvl>
    <w:lvl w:ilvl="1" w:tplc="FE721BD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920C87"/>
    <w:multiLevelType w:val="hybridMultilevel"/>
    <w:tmpl w:val="94DE873C"/>
    <w:lvl w:ilvl="0" w:tplc="EBD86C8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E072B85"/>
    <w:multiLevelType w:val="hybridMultilevel"/>
    <w:tmpl w:val="53427D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34763B"/>
    <w:multiLevelType w:val="hybridMultilevel"/>
    <w:tmpl w:val="FAFE9BB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0A05A65"/>
    <w:multiLevelType w:val="hybridMultilevel"/>
    <w:tmpl w:val="57D62F5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1334B42"/>
    <w:multiLevelType w:val="hybridMultilevel"/>
    <w:tmpl w:val="360A8B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3D3CF9"/>
    <w:multiLevelType w:val="hybridMultilevel"/>
    <w:tmpl w:val="BC9C1C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063DD9"/>
    <w:multiLevelType w:val="hybridMultilevel"/>
    <w:tmpl w:val="008C4736"/>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2F2E34C3"/>
    <w:multiLevelType w:val="hybridMultilevel"/>
    <w:tmpl w:val="D42E9508"/>
    <w:lvl w:ilvl="0" w:tplc="2068998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BC5F1B"/>
    <w:multiLevelType w:val="hybridMultilevel"/>
    <w:tmpl w:val="4D3695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EF5563"/>
    <w:multiLevelType w:val="hybridMultilevel"/>
    <w:tmpl w:val="8924BB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4D0389"/>
    <w:multiLevelType w:val="hybridMultilevel"/>
    <w:tmpl w:val="313648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476E62"/>
    <w:multiLevelType w:val="hybridMultilevel"/>
    <w:tmpl w:val="E788E8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4800B1"/>
    <w:multiLevelType w:val="hybridMultilevel"/>
    <w:tmpl w:val="5BD8D91E"/>
    <w:lvl w:ilvl="0" w:tplc="0415000F">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8" w15:restartNumberingAfterBreak="0">
    <w:nsid w:val="45C60C51"/>
    <w:multiLevelType w:val="hybridMultilevel"/>
    <w:tmpl w:val="7A465F2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BE02059"/>
    <w:multiLevelType w:val="hybridMultilevel"/>
    <w:tmpl w:val="4DC4E3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EF22BE"/>
    <w:multiLevelType w:val="hybridMultilevel"/>
    <w:tmpl w:val="39664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19563B"/>
    <w:multiLevelType w:val="hybridMultilevel"/>
    <w:tmpl w:val="02B653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0837279"/>
    <w:multiLevelType w:val="hybridMultilevel"/>
    <w:tmpl w:val="DBDAC91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15:restartNumberingAfterBreak="0">
    <w:nsid w:val="53BB676B"/>
    <w:multiLevelType w:val="hybridMultilevel"/>
    <w:tmpl w:val="7CB0E6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87562A"/>
    <w:multiLevelType w:val="hybridMultilevel"/>
    <w:tmpl w:val="ED24FE20"/>
    <w:lvl w:ilvl="0" w:tplc="3984E13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CE6008"/>
    <w:multiLevelType w:val="hybridMultilevel"/>
    <w:tmpl w:val="DA4AE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D758DA"/>
    <w:multiLevelType w:val="hybridMultilevel"/>
    <w:tmpl w:val="B5C84A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787B69"/>
    <w:multiLevelType w:val="hybridMultilevel"/>
    <w:tmpl w:val="758274C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E43BE7"/>
    <w:multiLevelType w:val="hybridMultilevel"/>
    <w:tmpl w:val="2A22CFD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6C472BAA"/>
    <w:multiLevelType w:val="hybridMultilevel"/>
    <w:tmpl w:val="6B343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467483"/>
    <w:multiLevelType w:val="hybridMultilevel"/>
    <w:tmpl w:val="5DD643C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74292030"/>
    <w:multiLevelType w:val="hybridMultilevel"/>
    <w:tmpl w:val="050E6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B520C4"/>
    <w:multiLevelType w:val="hybridMultilevel"/>
    <w:tmpl w:val="6472F8C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7D67354E"/>
    <w:multiLevelType w:val="hybridMultilevel"/>
    <w:tmpl w:val="CA162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4B6A4F"/>
    <w:multiLevelType w:val="hybridMultilevel"/>
    <w:tmpl w:val="562C5750"/>
    <w:lvl w:ilvl="0" w:tplc="EBD86C8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13"/>
  </w:num>
  <w:num w:numId="5">
    <w:abstractNumId w:val="0"/>
  </w:num>
  <w:num w:numId="6">
    <w:abstractNumId w:val="23"/>
  </w:num>
  <w:num w:numId="7">
    <w:abstractNumId w:val="29"/>
  </w:num>
  <w:num w:numId="8">
    <w:abstractNumId w:val="33"/>
  </w:num>
  <w:num w:numId="9">
    <w:abstractNumId w:val="7"/>
  </w:num>
  <w:num w:numId="10">
    <w:abstractNumId w:val="30"/>
  </w:num>
  <w:num w:numId="11">
    <w:abstractNumId w:val="10"/>
  </w:num>
  <w:num w:numId="12">
    <w:abstractNumId w:val="25"/>
  </w:num>
  <w:num w:numId="13">
    <w:abstractNumId w:val="20"/>
  </w:num>
  <w:num w:numId="14">
    <w:abstractNumId w:val="9"/>
  </w:num>
  <w:num w:numId="15">
    <w:abstractNumId w:val="17"/>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8"/>
  </w:num>
  <w:num w:numId="19">
    <w:abstractNumId w:val="31"/>
  </w:num>
  <w:num w:numId="20">
    <w:abstractNumId w:val="27"/>
  </w:num>
  <w:num w:numId="21">
    <w:abstractNumId w:val="11"/>
  </w:num>
  <w:num w:numId="22">
    <w:abstractNumId w:val="26"/>
  </w:num>
  <w:num w:numId="23">
    <w:abstractNumId w:val="12"/>
  </w:num>
  <w:num w:numId="24">
    <w:abstractNumId w:val="3"/>
  </w:num>
  <w:num w:numId="25">
    <w:abstractNumId w:val="24"/>
  </w:num>
  <w:num w:numId="26">
    <w:abstractNumId w:val="1"/>
  </w:num>
  <w:num w:numId="27">
    <w:abstractNumId w:val="18"/>
  </w:num>
  <w:num w:numId="28">
    <w:abstractNumId w:val="2"/>
  </w:num>
  <w:num w:numId="29">
    <w:abstractNumId w:val="19"/>
  </w:num>
  <w:num w:numId="30">
    <w:abstractNumId w:val="32"/>
  </w:num>
  <w:num w:numId="31">
    <w:abstractNumId w:val="8"/>
  </w:num>
  <w:num w:numId="32">
    <w:abstractNumId w:val="6"/>
  </w:num>
  <w:num w:numId="33">
    <w:abstractNumId w:val="5"/>
  </w:num>
  <w:num w:numId="34">
    <w:abstractNumId w:val="16"/>
  </w:num>
  <w:num w:numId="35">
    <w:abstractNumId w:val="4"/>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BE"/>
    <w:rsid w:val="00001D52"/>
    <w:rsid w:val="00002795"/>
    <w:rsid w:val="00003F33"/>
    <w:rsid w:val="000047C9"/>
    <w:rsid w:val="000063D2"/>
    <w:rsid w:val="00007C28"/>
    <w:rsid w:val="00011B34"/>
    <w:rsid w:val="00012893"/>
    <w:rsid w:val="0001590A"/>
    <w:rsid w:val="00016BE2"/>
    <w:rsid w:val="00017EB6"/>
    <w:rsid w:val="000209FC"/>
    <w:rsid w:val="0002401E"/>
    <w:rsid w:val="00024520"/>
    <w:rsid w:val="0003296B"/>
    <w:rsid w:val="00032A10"/>
    <w:rsid w:val="000357FD"/>
    <w:rsid w:val="00036B2C"/>
    <w:rsid w:val="00036B42"/>
    <w:rsid w:val="00040E20"/>
    <w:rsid w:val="00045815"/>
    <w:rsid w:val="00051C3F"/>
    <w:rsid w:val="00052884"/>
    <w:rsid w:val="00052D82"/>
    <w:rsid w:val="00054236"/>
    <w:rsid w:val="000553AC"/>
    <w:rsid w:val="000567B0"/>
    <w:rsid w:val="0006098D"/>
    <w:rsid w:val="000611EC"/>
    <w:rsid w:val="000657A7"/>
    <w:rsid w:val="00066D48"/>
    <w:rsid w:val="00073429"/>
    <w:rsid w:val="00074AB5"/>
    <w:rsid w:val="000753BF"/>
    <w:rsid w:val="00076B78"/>
    <w:rsid w:val="00077199"/>
    <w:rsid w:val="00077A55"/>
    <w:rsid w:val="00082E7A"/>
    <w:rsid w:val="0008412B"/>
    <w:rsid w:val="00084648"/>
    <w:rsid w:val="00086E0E"/>
    <w:rsid w:val="00090700"/>
    <w:rsid w:val="00091997"/>
    <w:rsid w:val="00093290"/>
    <w:rsid w:val="000939A9"/>
    <w:rsid w:val="000A08A4"/>
    <w:rsid w:val="000A5AF9"/>
    <w:rsid w:val="000A62B3"/>
    <w:rsid w:val="000A7D68"/>
    <w:rsid w:val="000B0668"/>
    <w:rsid w:val="000B0C4A"/>
    <w:rsid w:val="000B1C08"/>
    <w:rsid w:val="000B36B6"/>
    <w:rsid w:val="000C22EA"/>
    <w:rsid w:val="000C31FB"/>
    <w:rsid w:val="000C42F5"/>
    <w:rsid w:val="000C51A6"/>
    <w:rsid w:val="000C5A01"/>
    <w:rsid w:val="000C6AFE"/>
    <w:rsid w:val="000D06BB"/>
    <w:rsid w:val="000D40FF"/>
    <w:rsid w:val="000E1204"/>
    <w:rsid w:val="000E2D93"/>
    <w:rsid w:val="000E68EE"/>
    <w:rsid w:val="000F1C63"/>
    <w:rsid w:val="000F3E3B"/>
    <w:rsid w:val="000F4BE6"/>
    <w:rsid w:val="000F64FA"/>
    <w:rsid w:val="000F6A31"/>
    <w:rsid w:val="001006E7"/>
    <w:rsid w:val="00100DFF"/>
    <w:rsid w:val="00101AD0"/>
    <w:rsid w:val="001022F0"/>
    <w:rsid w:val="00102CB7"/>
    <w:rsid w:val="00110901"/>
    <w:rsid w:val="00110F47"/>
    <w:rsid w:val="001130A6"/>
    <w:rsid w:val="0011622B"/>
    <w:rsid w:val="00116FA9"/>
    <w:rsid w:val="0012072F"/>
    <w:rsid w:val="00120BFC"/>
    <w:rsid w:val="001210AA"/>
    <w:rsid w:val="0012133B"/>
    <w:rsid w:val="001226AA"/>
    <w:rsid w:val="00123FAA"/>
    <w:rsid w:val="001246E4"/>
    <w:rsid w:val="001250CD"/>
    <w:rsid w:val="00130FD1"/>
    <w:rsid w:val="00132626"/>
    <w:rsid w:val="00132939"/>
    <w:rsid w:val="00133003"/>
    <w:rsid w:val="001348E5"/>
    <w:rsid w:val="001426C3"/>
    <w:rsid w:val="00143B0A"/>
    <w:rsid w:val="00144068"/>
    <w:rsid w:val="00145B07"/>
    <w:rsid w:val="00146148"/>
    <w:rsid w:val="0014671D"/>
    <w:rsid w:val="001469B8"/>
    <w:rsid w:val="0015514B"/>
    <w:rsid w:val="00157DD4"/>
    <w:rsid w:val="00163D82"/>
    <w:rsid w:val="001645FC"/>
    <w:rsid w:val="001678C3"/>
    <w:rsid w:val="0017140E"/>
    <w:rsid w:val="00171925"/>
    <w:rsid w:val="00172AB4"/>
    <w:rsid w:val="00174258"/>
    <w:rsid w:val="00174413"/>
    <w:rsid w:val="001773FD"/>
    <w:rsid w:val="00180C63"/>
    <w:rsid w:val="00180E40"/>
    <w:rsid w:val="001872D9"/>
    <w:rsid w:val="00187C9D"/>
    <w:rsid w:val="00191785"/>
    <w:rsid w:val="001920B2"/>
    <w:rsid w:val="00192804"/>
    <w:rsid w:val="0019295F"/>
    <w:rsid w:val="0019705A"/>
    <w:rsid w:val="00197A86"/>
    <w:rsid w:val="001A07C0"/>
    <w:rsid w:val="001A0814"/>
    <w:rsid w:val="001A0EE5"/>
    <w:rsid w:val="001A277A"/>
    <w:rsid w:val="001A4C10"/>
    <w:rsid w:val="001A73C3"/>
    <w:rsid w:val="001A7624"/>
    <w:rsid w:val="001B1CD2"/>
    <w:rsid w:val="001B1F36"/>
    <w:rsid w:val="001B34BC"/>
    <w:rsid w:val="001B65F5"/>
    <w:rsid w:val="001C2255"/>
    <w:rsid w:val="001C26D9"/>
    <w:rsid w:val="001C328E"/>
    <w:rsid w:val="001C4309"/>
    <w:rsid w:val="001C4F41"/>
    <w:rsid w:val="001C6CEF"/>
    <w:rsid w:val="001D0588"/>
    <w:rsid w:val="001D17FA"/>
    <w:rsid w:val="001D1AFE"/>
    <w:rsid w:val="001D7FDE"/>
    <w:rsid w:val="001E07E0"/>
    <w:rsid w:val="001E14FA"/>
    <w:rsid w:val="001E3260"/>
    <w:rsid w:val="001E3F4C"/>
    <w:rsid w:val="001E7BFE"/>
    <w:rsid w:val="001F01C0"/>
    <w:rsid w:val="001F0869"/>
    <w:rsid w:val="001F269E"/>
    <w:rsid w:val="001F3972"/>
    <w:rsid w:val="001F455A"/>
    <w:rsid w:val="001F4D5F"/>
    <w:rsid w:val="001F4EC3"/>
    <w:rsid w:val="001F60ED"/>
    <w:rsid w:val="001F620E"/>
    <w:rsid w:val="001F6316"/>
    <w:rsid w:val="001F644C"/>
    <w:rsid w:val="001F6699"/>
    <w:rsid w:val="00201EF1"/>
    <w:rsid w:val="002026E1"/>
    <w:rsid w:val="00206B94"/>
    <w:rsid w:val="00212B8D"/>
    <w:rsid w:val="00215CFC"/>
    <w:rsid w:val="00216AD8"/>
    <w:rsid w:val="00221B4C"/>
    <w:rsid w:val="00222BD8"/>
    <w:rsid w:val="002247FB"/>
    <w:rsid w:val="00225C18"/>
    <w:rsid w:val="00225E23"/>
    <w:rsid w:val="002268E8"/>
    <w:rsid w:val="00226A22"/>
    <w:rsid w:val="0023011E"/>
    <w:rsid w:val="0023071B"/>
    <w:rsid w:val="00230D93"/>
    <w:rsid w:val="00232508"/>
    <w:rsid w:val="00232EDB"/>
    <w:rsid w:val="002338FD"/>
    <w:rsid w:val="00236866"/>
    <w:rsid w:val="0023789E"/>
    <w:rsid w:val="0024034F"/>
    <w:rsid w:val="00240732"/>
    <w:rsid w:val="00242882"/>
    <w:rsid w:val="00242AAD"/>
    <w:rsid w:val="00244920"/>
    <w:rsid w:val="00244FF9"/>
    <w:rsid w:val="002534B9"/>
    <w:rsid w:val="00255F1E"/>
    <w:rsid w:val="0025731D"/>
    <w:rsid w:val="00260732"/>
    <w:rsid w:val="00264F02"/>
    <w:rsid w:val="00265A3C"/>
    <w:rsid w:val="00266450"/>
    <w:rsid w:val="0026682F"/>
    <w:rsid w:val="0027150D"/>
    <w:rsid w:val="00280289"/>
    <w:rsid w:val="002809C5"/>
    <w:rsid w:val="00280DCE"/>
    <w:rsid w:val="00281DB8"/>
    <w:rsid w:val="002833DB"/>
    <w:rsid w:val="002868F3"/>
    <w:rsid w:val="00286FB2"/>
    <w:rsid w:val="002872D3"/>
    <w:rsid w:val="0029125C"/>
    <w:rsid w:val="002A0810"/>
    <w:rsid w:val="002A33BF"/>
    <w:rsid w:val="002A699C"/>
    <w:rsid w:val="002A7773"/>
    <w:rsid w:val="002B082B"/>
    <w:rsid w:val="002B5350"/>
    <w:rsid w:val="002B61B5"/>
    <w:rsid w:val="002B652B"/>
    <w:rsid w:val="002B7DBB"/>
    <w:rsid w:val="002C0A98"/>
    <w:rsid w:val="002C1145"/>
    <w:rsid w:val="002C2D73"/>
    <w:rsid w:val="002C5AEE"/>
    <w:rsid w:val="002D0BD3"/>
    <w:rsid w:val="002D3521"/>
    <w:rsid w:val="002D3857"/>
    <w:rsid w:val="002D50D3"/>
    <w:rsid w:val="002D5880"/>
    <w:rsid w:val="002D59C2"/>
    <w:rsid w:val="002D736B"/>
    <w:rsid w:val="002D7468"/>
    <w:rsid w:val="002E12FF"/>
    <w:rsid w:val="002E58FA"/>
    <w:rsid w:val="002F3A67"/>
    <w:rsid w:val="002F5BDC"/>
    <w:rsid w:val="003013D1"/>
    <w:rsid w:val="00302206"/>
    <w:rsid w:val="00303EA3"/>
    <w:rsid w:val="00305EB7"/>
    <w:rsid w:val="00307909"/>
    <w:rsid w:val="00310AA3"/>
    <w:rsid w:val="0031266C"/>
    <w:rsid w:val="0031280C"/>
    <w:rsid w:val="0031408C"/>
    <w:rsid w:val="00315F40"/>
    <w:rsid w:val="00316974"/>
    <w:rsid w:val="003171D7"/>
    <w:rsid w:val="00317808"/>
    <w:rsid w:val="00322AD1"/>
    <w:rsid w:val="003260F1"/>
    <w:rsid w:val="00330102"/>
    <w:rsid w:val="00333E9A"/>
    <w:rsid w:val="00335955"/>
    <w:rsid w:val="00336060"/>
    <w:rsid w:val="00340C33"/>
    <w:rsid w:val="00341615"/>
    <w:rsid w:val="0034196E"/>
    <w:rsid w:val="0034234C"/>
    <w:rsid w:val="0034471F"/>
    <w:rsid w:val="003514F7"/>
    <w:rsid w:val="00352040"/>
    <w:rsid w:val="00352BC8"/>
    <w:rsid w:val="00355C8E"/>
    <w:rsid w:val="003562E6"/>
    <w:rsid w:val="00357A7A"/>
    <w:rsid w:val="003628F2"/>
    <w:rsid w:val="00363499"/>
    <w:rsid w:val="00372DB5"/>
    <w:rsid w:val="00373B73"/>
    <w:rsid w:val="00375271"/>
    <w:rsid w:val="003816B1"/>
    <w:rsid w:val="00382CE6"/>
    <w:rsid w:val="00384003"/>
    <w:rsid w:val="003843A8"/>
    <w:rsid w:val="0039086E"/>
    <w:rsid w:val="003A0592"/>
    <w:rsid w:val="003A0A6C"/>
    <w:rsid w:val="003A251D"/>
    <w:rsid w:val="003A37A6"/>
    <w:rsid w:val="003A3BE1"/>
    <w:rsid w:val="003A407D"/>
    <w:rsid w:val="003A46CA"/>
    <w:rsid w:val="003A6217"/>
    <w:rsid w:val="003A6FAD"/>
    <w:rsid w:val="003B43D3"/>
    <w:rsid w:val="003B6D73"/>
    <w:rsid w:val="003C06FE"/>
    <w:rsid w:val="003C0D66"/>
    <w:rsid w:val="003C1868"/>
    <w:rsid w:val="003C1E38"/>
    <w:rsid w:val="003C3A21"/>
    <w:rsid w:val="003C5369"/>
    <w:rsid w:val="003C5844"/>
    <w:rsid w:val="003D276D"/>
    <w:rsid w:val="003D4520"/>
    <w:rsid w:val="003D4BF3"/>
    <w:rsid w:val="003E0E7D"/>
    <w:rsid w:val="003E1AA3"/>
    <w:rsid w:val="003E2B17"/>
    <w:rsid w:val="003F10C5"/>
    <w:rsid w:val="003F725B"/>
    <w:rsid w:val="003F7D38"/>
    <w:rsid w:val="003F7DBB"/>
    <w:rsid w:val="0040215D"/>
    <w:rsid w:val="0040244E"/>
    <w:rsid w:val="0040364D"/>
    <w:rsid w:val="00404945"/>
    <w:rsid w:val="00405E68"/>
    <w:rsid w:val="00405EFC"/>
    <w:rsid w:val="004101A6"/>
    <w:rsid w:val="00410A9B"/>
    <w:rsid w:val="00411EED"/>
    <w:rsid w:val="00412744"/>
    <w:rsid w:val="004148A2"/>
    <w:rsid w:val="00414EF7"/>
    <w:rsid w:val="00424302"/>
    <w:rsid w:val="00424C96"/>
    <w:rsid w:val="00426142"/>
    <w:rsid w:val="00433357"/>
    <w:rsid w:val="00433849"/>
    <w:rsid w:val="0043438D"/>
    <w:rsid w:val="00434556"/>
    <w:rsid w:val="0043704A"/>
    <w:rsid w:val="0044022B"/>
    <w:rsid w:val="00440C35"/>
    <w:rsid w:val="00446918"/>
    <w:rsid w:val="004471C9"/>
    <w:rsid w:val="00452181"/>
    <w:rsid w:val="00452FA1"/>
    <w:rsid w:val="00456DAC"/>
    <w:rsid w:val="004604F1"/>
    <w:rsid w:val="004662B3"/>
    <w:rsid w:val="00466F18"/>
    <w:rsid w:val="00472835"/>
    <w:rsid w:val="004742C4"/>
    <w:rsid w:val="00476125"/>
    <w:rsid w:val="00480E59"/>
    <w:rsid w:val="00481A1E"/>
    <w:rsid w:val="004835FC"/>
    <w:rsid w:val="00484A4F"/>
    <w:rsid w:val="00484B4C"/>
    <w:rsid w:val="004909CA"/>
    <w:rsid w:val="00490BDB"/>
    <w:rsid w:val="00490F2F"/>
    <w:rsid w:val="00491708"/>
    <w:rsid w:val="0049486B"/>
    <w:rsid w:val="004953D7"/>
    <w:rsid w:val="0049541F"/>
    <w:rsid w:val="0049648C"/>
    <w:rsid w:val="00497009"/>
    <w:rsid w:val="004A1D7A"/>
    <w:rsid w:val="004A26BF"/>
    <w:rsid w:val="004A398F"/>
    <w:rsid w:val="004A3BD6"/>
    <w:rsid w:val="004A4241"/>
    <w:rsid w:val="004A5D31"/>
    <w:rsid w:val="004B52BC"/>
    <w:rsid w:val="004B5AA8"/>
    <w:rsid w:val="004B724E"/>
    <w:rsid w:val="004C29E1"/>
    <w:rsid w:val="004C5A96"/>
    <w:rsid w:val="004D40A1"/>
    <w:rsid w:val="004D4883"/>
    <w:rsid w:val="004E08F3"/>
    <w:rsid w:val="004E0C2C"/>
    <w:rsid w:val="004E2F66"/>
    <w:rsid w:val="004E3DBA"/>
    <w:rsid w:val="004F29AE"/>
    <w:rsid w:val="00501481"/>
    <w:rsid w:val="00506C9C"/>
    <w:rsid w:val="00512A9D"/>
    <w:rsid w:val="00514EB2"/>
    <w:rsid w:val="00515328"/>
    <w:rsid w:val="0051562E"/>
    <w:rsid w:val="005169A4"/>
    <w:rsid w:val="00517830"/>
    <w:rsid w:val="00517A53"/>
    <w:rsid w:val="00523A3A"/>
    <w:rsid w:val="0052423E"/>
    <w:rsid w:val="00527B1B"/>
    <w:rsid w:val="00531789"/>
    <w:rsid w:val="005330C2"/>
    <w:rsid w:val="00533AA2"/>
    <w:rsid w:val="00536A32"/>
    <w:rsid w:val="005407FC"/>
    <w:rsid w:val="00540FFF"/>
    <w:rsid w:val="00544391"/>
    <w:rsid w:val="00545B70"/>
    <w:rsid w:val="00550E97"/>
    <w:rsid w:val="005514D9"/>
    <w:rsid w:val="005523F1"/>
    <w:rsid w:val="00555BD5"/>
    <w:rsid w:val="0056052A"/>
    <w:rsid w:val="00560D1D"/>
    <w:rsid w:val="0056475B"/>
    <w:rsid w:val="00574313"/>
    <w:rsid w:val="00574F11"/>
    <w:rsid w:val="005774DF"/>
    <w:rsid w:val="0058095A"/>
    <w:rsid w:val="00584835"/>
    <w:rsid w:val="005851DE"/>
    <w:rsid w:val="005856DE"/>
    <w:rsid w:val="00585FCA"/>
    <w:rsid w:val="005860EE"/>
    <w:rsid w:val="005866DB"/>
    <w:rsid w:val="00587AC8"/>
    <w:rsid w:val="0059075C"/>
    <w:rsid w:val="00590CE3"/>
    <w:rsid w:val="00591A9B"/>
    <w:rsid w:val="005977A5"/>
    <w:rsid w:val="005A3A89"/>
    <w:rsid w:val="005A4801"/>
    <w:rsid w:val="005A58A8"/>
    <w:rsid w:val="005A7848"/>
    <w:rsid w:val="005B0AF7"/>
    <w:rsid w:val="005B630F"/>
    <w:rsid w:val="005B777B"/>
    <w:rsid w:val="005B78D9"/>
    <w:rsid w:val="005C2F39"/>
    <w:rsid w:val="005C57CB"/>
    <w:rsid w:val="005C62C5"/>
    <w:rsid w:val="005C73A1"/>
    <w:rsid w:val="005D1201"/>
    <w:rsid w:val="005D1CAF"/>
    <w:rsid w:val="005D20A5"/>
    <w:rsid w:val="005D3296"/>
    <w:rsid w:val="005D4B5C"/>
    <w:rsid w:val="005D4B77"/>
    <w:rsid w:val="005D4CB6"/>
    <w:rsid w:val="005E2BDD"/>
    <w:rsid w:val="005E5CB6"/>
    <w:rsid w:val="005E63EE"/>
    <w:rsid w:val="005E6DBB"/>
    <w:rsid w:val="005E6EBC"/>
    <w:rsid w:val="005F032C"/>
    <w:rsid w:val="005F4785"/>
    <w:rsid w:val="005F48A5"/>
    <w:rsid w:val="005F5C20"/>
    <w:rsid w:val="00604724"/>
    <w:rsid w:val="00606F60"/>
    <w:rsid w:val="00606FB1"/>
    <w:rsid w:val="00613D59"/>
    <w:rsid w:val="00614DBF"/>
    <w:rsid w:val="0061615D"/>
    <w:rsid w:val="00616875"/>
    <w:rsid w:val="00623233"/>
    <w:rsid w:val="006237D3"/>
    <w:rsid w:val="006241B9"/>
    <w:rsid w:val="00626FBE"/>
    <w:rsid w:val="00632022"/>
    <w:rsid w:val="00633589"/>
    <w:rsid w:val="00633A86"/>
    <w:rsid w:val="006342D9"/>
    <w:rsid w:val="00635D73"/>
    <w:rsid w:val="00640153"/>
    <w:rsid w:val="006425AF"/>
    <w:rsid w:val="0064331D"/>
    <w:rsid w:val="00646F1E"/>
    <w:rsid w:val="00650216"/>
    <w:rsid w:val="006514FB"/>
    <w:rsid w:val="0065176D"/>
    <w:rsid w:val="00652BE7"/>
    <w:rsid w:val="006546E2"/>
    <w:rsid w:val="00656392"/>
    <w:rsid w:val="00657C90"/>
    <w:rsid w:val="00661453"/>
    <w:rsid w:val="00661E8D"/>
    <w:rsid w:val="00663F34"/>
    <w:rsid w:val="0066482E"/>
    <w:rsid w:val="006650EB"/>
    <w:rsid w:val="006676BA"/>
    <w:rsid w:val="006676F1"/>
    <w:rsid w:val="006720BE"/>
    <w:rsid w:val="00680B43"/>
    <w:rsid w:val="00682BFA"/>
    <w:rsid w:val="006847FC"/>
    <w:rsid w:val="00685555"/>
    <w:rsid w:val="006876C3"/>
    <w:rsid w:val="00687EE0"/>
    <w:rsid w:val="006927E7"/>
    <w:rsid w:val="006937D1"/>
    <w:rsid w:val="00695B80"/>
    <w:rsid w:val="0069760D"/>
    <w:rsid w:val="006A0B89"/>
    <w:rsid w:val="006A4982"/>
    <w:rsid w:val="006A7321"/>
    <w:rsid w:val="006B212C"/>
    <w:rsid w:val="006B78DF"/>
    <w:rsid w:val="006B7E7E"/>
    <w:rsid w:val="006C04FE"/>
    <w:rsid w:val="006C083D"/>
    <w:rsid w:val="006C1BC9"/>
    <w:rsid w:val="006C5B00"/>
    <w:rsid w:val="006D0458"/>
    <w:rsid w:val="006D37E6"/>
    <w:rsid w:val="006D4146"/>
    <w:rsid w:val="006E1584"/>
    <w:rsid w:val="006E2B0A"/>
    <w:rsid w:val="006E3217"/>
    <w:rsid w:val="006E48E4"/>
    <w:rsid w:val="006E4A43"/>
    <w:rsid w:val="006E4FBE"/>
    <w:rsid w:val="006E519B"/>
    <w:rsid w:val="006E5422"/>
    <w:rsid w:val="006E5E8C"/>
    <w:rsid w:val="006E6C49"/>
    <w:rsid w:val="006E7A0D"/>
    <w:rsid w:val="006F28CC"/>
    <w:rsid w:val="006F30BF"/>
    <w:rsid w:val="006F3AEE"/>
    <w:rsid w:val="006F3B9B"/>
    <w:rsid w:val="006F7885"/>
    <w:rsid w:val="006F7DD8"/>
    <w:rsid w:val="00702472"/>
    <w:rsid w:val="007055FD"/>
    <w:rsid w:val="00706F64"/>
    <w:rsid w:val="007079C3"/>
    <w:rsid w:val="00707B96"/>
    <w:rsid w:val="00712F9A"/>
    <w:rsid w:val="0071468A"/>
    <w:rsid w:val="0071697D"/>
    <w:rsid w:val="00716A53"/>
    <w:rsid w:val="00716DA5"/>
    <w:rsid w:val="00717CA4"/>
    <w:rsid w:val="0072203A"/>
    <w:rsid w:val="007220B5"/>
    <w:rsid w:val="00722E17"/>
    <w:rsid w:val="00724A52"/>
    <w:rsid w:val="00727804"/>
    <w:rsid w:val="007327C3"/>
    <w:rsid w:val="00732E09"/>
    <w:rsid w:val="00735348"/>
    <w:rsid w:val="007422D6"/>
    <w:rsid w:val="00746156"/>
    <w:rsid w:val="0075115B"/>
    <w:rsid w:val="00751287"/>
    <w:rsid w:val="00751573"/>
    <w:rsid w:val="00751B00"/>
    <w:rsid w:val="00752F9B"/>
    <w:rsid w:val="00753D52"/>
    <w:rsid w:val="0075425D"/>
    <w:rsid w:val="00757D6F"/>
    <w:rsid w:val="00757EBA"/>
    <w:rsid w:val="00760867"/>
    <w:rsid w:val="00761298"/>
    <w:rsid w:val="00761760"/>
    <w:rsid w:val="00763A15"/>
    <w:rsid w:val="0076598E"/>
    <w:rsid w:val="00765E20"/>
    <w:rsid w:val="00766A84"/>
    <w:rsid w:val="007703D8"/>
    <w:rsid w:val="00770722"/>
    <w:rsid w:val="00771DAC"/>
    <w:rsid w:val="00781E90"/>
    <w:rsid w:val="00781EDF"/>
    <w:rsid w:val="00782916"/>
    <w:rsid w:val="00782BF7"/>
    <w:rsid w:val="00783A09"/>
    <w:rsid w:val="007949AE"/>
    <w:rsid w:val="0079502F"/>
    <w:rsid w:val="00795074"/>
    <w:rsid w:val="007A0069"/>
    <w:rsid w:val="007A0388"/>
    <w:rsid w:val="007A1AC0"/>
    <w:rsid w:val="007A2C1C"/>
    <w:rsid w:val="007A3CAF"/>
    <w:rsid w:val="007A5A0A"/>
    <w:rsid w:val="007A641E"/>
    <w:rsid w:val="007A6440"/>
    <w:rsid w:val="007B0276"/>
    <w:rsid w:val="007B0816"/>
    <w:rsid w:val="007B20CB"/>
    <w:rsid w:val="007B3B88"/>
    <w:rsid w:val="007B4DB6"/>
    <w:rsid w:val="007B58C8"/>
    <w:rsid w:val="007B6900"/>
    <w:rsid w:val="007C2B6D"/>
    <w:rsid w:val="007C50BE"/>
    <w:rsid w:val="007D0AF8"/>
    <w:rsid w:val="007D1452"/>
    <w:rsid w:val="007D1469"/>
    <w:rsid w:val="007D277A"/>
    <w:rsid w:val="007D5318"/>
    <w:rsid w:val="007D5BA2"/>
    <w:rsid w:val="007D6DC4"/>
    <w:rsid w:val="007D7444"/>
    <w:rsid w:val="007E52A5"/>
    <w:rsid w:val="007E5BBF"/>
    <w:rsid w:val="007E7495"/>
    <w:rsid w:val="007E7E8F"/>
    <w:rsid w:val="007F07CA"/>
    <w:rsid w:val="007F1B86"/>
    <w:rsid w:val="007F531F"/>
    <w:rsid w:val="007F5653"/>
    <w:rsid w:val="008019E8"/>
    <w:rsid w:val="00803609"/>
    <w:rsid w:val="00803905"/>
    <w:rsid w:val="00804061"/>
    <w:rsid w:val="008108EF"/>
    <w:rsid w:val="00812074"/>
    <w:rsid w:val="008231E4"/>
    <w:rsid w:val="00823906"/>
    <w:rsid w:val="00823C93"/>
    <w:rsid w:val="0082420D"/>
    <w:rsid w:val="0082482B"/>
    <w:rsid w:val="00825C35"/>
    <w:rsid w:val="0082653C"/>
    <w:rsid w:val="0082685B"/>
    <w:rsid w:val="008308A1"/>
    <w:rsid w:val="00833363"/>
    <w:rsid w:val="00834721"/>
    <w:rsid w:val="0083624D"/>
    <w:rsid w:val="008402CB"/>
    <w:rsid w:val="008440C3"/>
    <w:rsid w:val="00844283"/>
    <w:rsid w:val="00844D6B"/>
    <w:rsid w:val="0084506C"/>
    <w:rsid w:val="00847C51"/>
    <w:rsid w:val="00850996"/>
    <w:rsid w:val="00852214"/>
    <w:rsid w:val="00852B3F"/>
    <w:rsid w:val="00853AB6"/>
    <w:rsid w:val="00854835"/>
    <w:rsid w:val="00855BF2"/>
    <w:rsid w:val="00857EC5"/>
    <w:rsid w:val="00860F81"/>
    <w:rsid w:val="008645D7"/>
    <w:rsid w:val="008678C6"/>
    <w:rsid w:val="00867937"/>
    <w:rsid w:val="00870407"/>
    <w:rsid w:val="00870A1A"/>
    <w:rsid w:val="00870CD3"/>
    <w:rsid w:val="00871AE4"/>
    <w:rsid w:val="00875793"/>
    <w:rsid w:val="008759C5"/>
    <w:rsid w:val="00877174"/>
    <w:rsid w:val="00877DE9"/>
    <w:rsid w:val="008831EC"/>
    <w:rsid w:val="00883A5D"/>
    <w:rsid w:val="00884EFD"/>
    <w:rsid w:val="00885055"/>
    <w:rsid w:val="0089017B"/>
    <w:rsid w:val="00890360"/>
    <w:rsid w:val="0089652B"/>
    <w:rsid w:val="00896A95"/>
    <w:rsid w:val="008970F1"/>
    <w:rsid w:val="008971F5"/>
    <w:rsid w:val="008A0086"/>
    <w:rsid w:val="008A1574"/>
    <w:rsid w:val="008A1DC5"/>
    <w:rsid w:val="008A5356"/>
    <w:rsid w:val="008A5999"/>
    <w:rsid w:val="008A6DD6"/>
    <w:rsid w:val="008B071E"/>
    <w:rsid w:val="008B1C67"/>
    <w:rsid w:val="008B27DE"/>
    <w:rsid w:val="008B4D7C"/>
    <w:rsid w:val="008B5C3F"/>
    <w:rsid w:val="008B60B6"/>
    <w:rsid w:val="008B7CB2"/>
    <w:rsid w:val="008C0D46"/>
    <w:rsid w:val="008C0FD5"/>
    <w:rsid w:val="008C2123"/>
    <w:rsid w:val="008C3271"/>
    <w:rsid w:val="008C6ED5"/>
    <w:rsid w:val="008D0F60"/>
    <w:rsid w:val="008D36FB"/>
    <w:rsid w:val="008D50C5"/>
    <w:rsid w:val="008D51D7"/>
    <w:rsid w:val="008D58D1"/>
    <w:rsid w:val="008D5D86"/>
    <w:rsid w:val="008D607E"/>
    <w:rsid w:val="008E29A9"/>
    <w:rsid w:val="008E3962"/>
    <w:rsid w:val="008E50F0"/>
    <w:rsid w:val="008E602B"/>
    <w:rsid w:val="008E64B4"/>
    <w:rsid w:val="008E68B3"/>
    <w:rsid w:val="008F250B"/>
    <w:rsid w:val="008F311A"/>
    <w:rsid w:val="008F5F31"/>
    <w:rsid w:val="00900499"/>
    <w:rsid w:val="00901F33"/>
    <w:rsid w:val="00903578"/>
    <w:rsid w:val="009041B7"/>
    <w:rsid w:val="009043EE"/>
    <w:rsid w:val="00905ED7"/>
    <w:rsid w:val="00906CBD"/>
    <w:rsid w:val="00912507"/>
    <w:rsid w:val="0091280C"/>
    <w:rsid w:val="00915C10"/>
    <w:rsid w:val="00915F06"/>
    <w:rsid w:val="009163CA"/>
    <w:rsid w:val="0091642C"/>
    <w:rsid w:val="00916890"/>
    <w:rsid w:val="009202FF"/>
    <w:rsid w:val="00922A9C"/>
    <w:rsid w:val="00923F61"/>
    <w:rsid w:val="00923FCB"/>
    <w:rsid w:val="009318F8"/>
    <w:rsid w:val="0093451C"/>
    <w:rsid w:val="00935AE0"/>
    <w:rsid w:val="00937497"/>
    <w:rsid w:val="00937EF7"/>
    <w:rsid w:val="00940ABD"/>
    <w:rsid w:val="00942BF3"/>
    <w:rsid w:val="00942FEF"/>
    <w:rsid w:val="0094342F"/>
    <w:rsid w:val="00950377"/>
    <w:rsid w:val="00950438"/>
    <w:rsid w:val="00951BB8"/>
    <w:rsid w:val="00951E89"/>
    <w:rsid w:val="009526AD"/>
    <w:rsid w:val="00953369"/>
    <w:rsid w:val="009543FE"/>
    <w:rsid w:val="0095453C"/>
    <w:rsid w:val="00957282"/>
    <w:rsid w:val="00957494"/>
    <w:rsid w:val="009611BE"/>
    <w:rsid w:val="00962994"/>
    <w:rsid w:val="009632A9"/>
    <w:rsid w:val="00966923"/>
    <w:rsid w:val="009674ED"/>
    <w:rsid w:val="00967948"/>
    <w:rsid w:val="00967C5D"/>
    <w:rsid w:val="0097185A"/>
    <w:rsid w:val="00974114"/>
    <w:rsid w:val="00977227"/>
    <w:rsid w:val="009778AD"/>
    <w:rsid w:val="00977E9A"/>
    <w:rsid w:val="00983671"/>
    <w:rsid w:val="00985029"/>
    <w:rsid w:val="00985AB7"/>
    <w:rsid w:val="009873F4"/>
    <w:rsid w:val="00991804"/>
    <w:rsid w:val="00991A30"/>
    <w:rsid w:val="00992583"/>
    <w:rsid w:val="00993215"/>
    <w:rsid w:val="00996CBE"/>
    <w:rsid w:val="00996DAA"/>
    <w:rsid w:val="009A1159"/>
    <w:rsid w:val="009A1B77"/>
    <w:rsid w:val="009A24AB"/>
    <w:rsid w:val="009A3797"/>
    <w:rsid w:val="009A39CA"/>
    <w:rsid w:val="009A70CE"/>
    <w:rsid w:val="009B1239"/>
    <w:rsid w:val="009B2FFE"/>
    <w:rsid w:val="009B486D"/>
    <w:rsid w:val="009B4E52"/>
    <w:rsid w:val="009B593F"/>
    <w:rsid w:val="009B746C"/>
    <w:rsid w:val="009C13CF"/>
    <w:rsid w:val="009C5391"/>
    <w:rsid w:val="009D4320"/>
    <w:rsid w:val="009E1170"/>
    <w:rsid w:val="009E1AE6"/>
    <w:rsid w:val="009E2770"/>
    <w:rsid w:val="009E570B"/>
    <w:rsid w:val="009F2575"/>
    <w:rsid w:val="009F2FFA"/>
    <w:rsid w:val="009F3D37"/>
    <w:rsid w:val="009F782A"/>
    <w:rsid w:val="00A018E2"/>
    <w:rsid w:val="00A04328"/>
    <w:rsid w:val="00A05508"/>
    <w:rsid w:val="00A05C2D"/>
    <w:rsid w:val="00A063E0"/>
    <w:rsid w:val="00A0663B"/>
    <w:rsid w:val="00A07F81"/>
    <w:rsid w:val="00A10DA5"/>
    <w:rsid w:val="00A13092"/>
    <w:rsid w:val="00A13AC0"/>
    <w:rsid w:val="00A20F95"/>
    <w:rsid w:val="00A22509"/>
    <w:rsid w:val="00A22D0E"/>
    <w:rsid w:val="00A26262"/>
    <w:rsid w:val="00A26E7A"/>
    <w:rsid w:val="00A336D9"/>
    <w:rsid w:val="00A33B61"/>
    <w:rsid w:val="00A355FE"/>
    <w:rsid w:val="00A35959"/>
    <w:rsid w:val="00A35F06"/>
    <w:rsid w:val="00A361C7"/>
    <w:rsid w:val="00A369BD"/>
    <w:rsid w:val="00A46A19"/>
    <w:rsid w:val="00A47374"/>
    <w:rsid w:val="00A53854"/>
    <w:rsid w:val="00A55722"/>
    <w:rsid w:val="00A57157"/>
    <w:rsid w:val="00A57BB8"/>
    <w:rsid w:val="00A6026B"/>
    <w:rsid w:val="00A602E9"/>
    <w:rsid w:val="00A6097A"/>
    <w:rsid w:val="00A609FC"/>
    <w:rsid w:val="00A612B9"/>
    <w:rsid w:val="00A62D33"/>
    <w:rsid w:val="00A663EE"/>
    <w:rsid w:val="00A66FB8"/>
    <w:rsid w:val="00A6730B"/>
    <w:rsid w:val="00A81D27"/>
    <w:rsid w:val="00A82B41"/>
    <w:rsid w:val="00A92412"/>
    <w:rsid w:val="00A9276D"/>
    <w:rsid w:val="00A93C1B"/>
    <w:rsid w:val="00A97980"/>
    <w:rsid w:val="00AA08EB"/>
    <w:rsid w:val="00AA18C7"/>
    <w:rsid w:val="00AA1B79"/>
    <w:rsid w:val="00AA300C"/>
    <w:rsid w:val="00AB0661"/>
    <w:rsid w:val="00AB50FF"/>
    <w:rsid w:val="00AB5C59"/>
    <w:rsid w:val="00AC0007"/>
    <w:rsid w:val="00AC06A5"/>
    <w:rsid w:val="00AC1026"/>
    <w:rsid w:val="00AC3A66"/>
    <w:rsid w:val="00AC3F7F"/>
    <w:rsid w:val="00AD0B64"/>
    <w:rsid w:val="00AD2463"/>
    <w:rsid w:val="00AD4DD2"/>
    <w:rsid w:val="00AD5616"/>
    <w:rsid w:val="00AE0286"/>
    <w:rsid w:val="00AE1926"/>
    <w:rsid w:val="00AE339D"/>
    <w:rsid w:val="00AE37AE"/>
    <w:rsid w:val="00AE3FF2"/>
    <w:rsid w:val="00AE4790"/>
    <w:rsid w:val="00AE584A"/>
    <w:rsid w:val="00AE6C44"/>
    <w:rsid w:val="00AE776E"/>
    <w:rsid w:val="00AF25BC"/>
    <w:rsid w:val="00AF4EE9"/>
    <w:rsid w:val="00B0141E"/>
    <w:rsid w:val="00B02BD2"/>
    <w:rsid w:val="00B04EDF"/>
    <w:rsid w:val="00B07D93"/>
    <w:rsid w:val="00B14A31"/>
    <w:rsid w:val="00B153BB"/>
    <w:rsid w:val="00B17FC4"/>
    <w:rsid w:val="00B23545"/>
    <w:rsid w:val="00B25255"/>
    <w:rsid w:val="00B26842"/>
    <w:rsid w:val="00B277EE"/>
    <w:rsid w:val="00B30A79"/>
    <w:rsid w:val="00B30FC7"/>
    <w:rsid w:val="00B40172"/>
    <w:rsid w:val="00B40F21"/>
    <w:rsid w:val="00B417B8"/>
    <w:rsid w:val="00B42A1F"/>
    <w:rsid w:val="00B42CD7"/>
    <w:rsid w:val="00B446DD"/>
    <w:rsid w:val="00B46385"/>
    <w:rsid w:val="00B54B6F"/>
    <w:rsid w:val="00B60B74"/>
    <w:rsid w:val="00B61A18"/>
    <w:rsid w:val="00B666FA"/>
    <w:rsid w:val="00B76682"/>
    <w:rsid w:val="00B7798D"/>
    <w:rsid w:val="00B77A17"/>
    <w:rsid w:val="00B82127"/>
    <w:rsid w:val="00B82976"/>
    <w:rsid w:val="00B82CD8"/>
    <w:rsid w:val="00B83F9D"/>
    <w:rsid w:val="00B843D6"/>
    <w:rsid w:val="00B84F3D"/>
    <w:rsid w:val="00B903BD"/>
    <w:rsid w:val="00B913C7"/>
    <w:rsid w:val="00B91487"/>
    <w:rsid w:val="00B91B02"/>
    <w:rsid w:val="00B923BC"/>
    <w:rsid w:val="00B93FC6"/>
    <w:rsid w:val="00B965F1"/>
    <w:rsid w:val="00B968C9"/>
    <w:rsid w:val="00B96E1F"/>
    <w:rsid w:val="00BA1A40"/>
    <w:rsid w:val="00BA4E06"/>
    <w:rsid w:val="00BB0E2D"/>
    <w:rsid w:val="00BB38BF"/>
    <w:rsid w:val="00BB78AB"/>
    <w:rsid w:val="00BC1152"/>
    <w:rsid w:val="00BC39FC"/>
    <w:rsid w:val="00BC4DAB"/>
    <w:rsid w:val="00BC5105"/>
    <w:rsid w:val="00BC79DD"/>
    <w:rsid w:val="00BD0A98"/>
    <w:rsid w:val="00BD30F1"/>
    <w:rsid w:val="00BD380E"/>
    <w:rsid w:val="00BD769B"/>
    <w:rsid w:val="00BE08CB"/>
    <w:rsid w:val="00BE28BB"/>
    <w:rsid w:val="00BE2989"/>
    <w:rsid w:val="00BE5E7F"/>
    <w:rsid w:val="00BE7617"/>
    <w:rsid w:val="00BE7F03"/>
    <w:rsid w:val="00BF0B6D"/>
    <w:rsid w:val="00BF1802"/>
    <w:rsid w:val="00BF1D45"/>
    <w:rsid w:val="00BF2618"/>
    <w:rsid w:val="00BF4068"/>
    <w:rsid w:val="00BF5C02"/>
    <w:rsid w:val="00BF5E37"/>
    <w:rsid w:val="00C028C0"/>
    <w:rsid w:val="00C03069"/>
    <w:rsid w:val="00C051A3"/>
    <w:rsid w:val="00C05DBB"/>
    <w:rsid w:val="00C0722A"/>
    <w:rsid w:val="00C12D07"/>
    <w:rsid w:val="00C20C66"/>
    <w:rsid w:val="00C210B1"/>
    <w:rsid w:val="00C212A4"/>
    <w:rsid w:val="00C21660"/>
    <w:rsid w:val="00C22165"/>
    <w:rsid w:val="00C2331B"/>
    <w:rsid w:val="00C25652"/>
    <w:rsid w:val="00C25CF1"/>
    <w:rsid w:val="00C266F1"/>
    <w:rsid w:val="00C26E98"/>
    <w:rsid w:val="00C27630"/>
    <w:rsid w:val="00C32557"/>
    <w:rsid w:val="00C3266D"/>
    <w:rsid w:val="00C32CB3"/>
    <w:rsid w:val="00C33D45"/>
    <w:rsid w:val="00C361C8"/>
    <w:rsid w:val="00C402A8"/>
    <w:rsid w:val="00C41EA2"/>
    <w:rsid w:val="00C4358F"/>
    <w:rsid w:val="00C439CC"/>
    <w:rsid w:val="00C452A4"/>
    <w:rsid w:val="00C51868"/>
    <w:rsid w:val="00C53A2E"/>
    <w:rsid w:val="00C5584B"/>
    <w:rsid w:val="00C5698A"/>
    <w:rsid w:val="00C60533"/>
    <w:rsid w:val="00C61D10"/>
    <w:rsid w:val="00C63912"/>
    <w:rsid w:val="00C63A42"/>
    <w:rsid w:val="00C65B83"/>
    <w:rsid w:val="00C663E1"/>
    <w:rsid w:val="00C6660D"/>
    <w:rsid w:val="00C66BE9"/>
    <w:rsid w:val="00C70E8F"/>
    <w:rsid w:val="00C72F32"/>
    <w:rsid w:val="00C758BF"/>
    <w:rsid w:val="00C77838"/>
    <w:rsid w:val="00C812D3"/>
    <w:rsid w:val="00C81F55"/>
    <w:rsid w:val="00C83235"/>
    <w:rsid w:val="00C8601B"/>
    <w:rsid w:val="00C8683D"/>
    <w:rsid w:val="00C908FA"/>
    <w:rsid w:val="00C9195F"/>
    <w:rsid w:val="00C926F2"/>
    <w:rsid w:val="00C94DDE"/>
    <w:rsid w:val="00C950CC"/>
    <w:rsid w:val="00C963C4"/>
    <w:rsid w:val="00CB043F"/>
    <w:rsid w:val="00CB1BDD"/>
    <w:rsid w:val="00CB533C"/>
    <w:rsid w:val="00CC0B43"/>
    <w:rsid w:val="00CC20DF"/>
    <w:rsid w:val="00CC48DE"/>
    <w:rsid w:val="00CC7684"/>
    <w:rsid w:val="00CD4C6B"/>
    <w:rsid w:val="00CD6F3E"/>
    <w:rsid w:val="00CD7CE4"/>
    <w:rsid w:val="00CE0578"/>
    <w:rsid w:val="00CE1FDC"/>
    <w:rsid w:val="00CE3681"/>
    <w:rsid w:val="00CE5EB5"/>
    <w:rsid w:val="00CE67CD"/>
    <w:rsid w:val="00CE7262"/>
    <w:rsid w:val="00CF0618"/>
    <w:rsid w:val="00CF0AF3"/>
    <w:rsid w:val="00CF0BE4"/>
    <w:rsid w:val="00CF14BC"/>
    <w:rsid w:val="00CF4EC2"/>
    <w:rsid w:val="00CF5A08"/>
    <w:rsid w:val="00CF6E21"/>
    <w:rsid w:val="00CF6E58"/>
    <w:rsid w:val="00CF7D90"/>
    <w:rsid w:val="00D0017E"/>
    <w:rsid w:val="00D01E45"/>
    <w:rsid w:val="00D06EFB"/>
    <w:rsid w:val="00D075D9"/>
    <w:rsid w:val="00D11A95"/>
    <w:rsid w:val="00D11ABB"/>
    <w:rsid w:val="00D128BD"/>
    <w:rsid w:val="00D1376F"/>
    <w:rsid w:val="00D15A46"/>
    <w:rsid w:val="00D213FD"/>
    <w:rsid w:val="00D228E5"/>
    <w:rsid w:val="00D22D54"/>
    <w:rsid w:val="00D232B5"/>
    <w:rsid w:val="00D23449"/>
    <w:rsid w:val="00D23A6B"/>
    <w:rsid w:val="00D23F67"/>
    <w:rsid w:val="00D24F1F"/>
    <w:rsid w:val="00D2593A"/>
    <w:rsid w:val="00D2777B"/>
    <w:rsid w:val="00D27B5B"/>
    <w:rsid w:val="00D307B3"/>
    <w:rsid w:val="00D31B2D"/>
    <w:rsid w:val="00D3367F"/>
    <w:rsid w:val="00D33E98"/>
    <w:rsid w:val="00D3468A"/>
    <w:rsid w:val="00D34C1E"/>
    <w:rsid w:val="00D354A0"/>
    <w:rsid w:val="00D35B89"/>
    <w:rsid w:val="00D3659A"/>
    <w:rsid w:val="00D36DD6"/>
    <w:rsid w:val="00D375E2"/>
    <w:rsid w:val="00D40EBA"/>
    <w:rsid w:val="00D435EA"/>
    <w:rsid w:val="00D4417C"/>
    <w:rsid w:val="00D44F49"/>
    <w:rsid w:val="00D45118"/>
    <w:rsid w:val="00D460C9"/>
    <w:rsid w:val="00D519BD"/>
    <w:rsid w:val="00D52B84"/>
    <w:rsid w:val="00D55323"/>
    <w:rsid w:val="00D5776B"/>
    <w:rsid w:val="00D57E49"/>
    <w:rsid w:val="00D60C05"/>
    <w:rsid w:val="00D62083"/>
    <w:rsid w:val="00D62B4D"/>
    <w:rsid w:val="00D6327D"/>
    <w:rsid w:val="00D636F4"/>
    <w:rsid w:val="00D638C1"/>
    <w:rsid w:val="00D63D1A"/>
    <w:rsid w:val="00D64498"/>
    <w:rsid w:val="00D64A53"/>
    <w:rsid w:val="00D726FB"/>
    <w:rsid w:val="00D72B41"/>
    <w:rsid w:val="00D72C41"/>
    <w:rsid w:val="00D7323E"/>
    <w:rsid w:val="00D73443"/>
    <w:rsid w:val="00D74AD0"/>
    <w:rsid w:val="00D776EA"/>
    <w:rsid w:val="00D808DF"/>
    <w:rsid w:val="00D81F6C"/>
    <w:rsid w:val="00D82BB9"/>
    <w:rsid w:val="00D83634"/>
    <w:rsid w:val="00D8449D"/>
    <w:rsid w:val="00D85C51"/>
    <w:rsid w:val="00D861D8"/>
    <w:rsid w:val="00D86411"/>
    <w:rsid w:val="00D90FEC"/>
    <w:rsid w:val="00D91050"/>
    <w:rsid w:val="00D94070"/>
    <w:rsid w:val="00D95DEB"/>
    <w:rsid w:val="00DA0F69"/>
    <w:rsid w:val="00DA1A28"/>
    <w:rsid w:val="00DA1EC8"/>
    <w:rsid w:val="00DA3070"/>
    <w:rsid w:val="00DA37DD"/>
    <w:rsid w:val="00DA4DD2"/>
    <w:rsid w:val="00DA5BFF"/>
    <w:rsid w:val="00DB42FC"/>
    <w:rsid w:val="00DB6973"/>
    <w:rsid w:val="00DC1D29"/>
    <w:rsid w:val="00DC3341"/>
    <w:rsid w:val="00DC3FA9"/>
    <w:rsid w:val="00DC40A4"/>
    <w:rsid w:val="00DC4F26"/>
    <w:rsid w:val="00DC790B"/>
    <w:rsid w:val="00DD007C"/>
    <w:rsid w:val="00DD04E2"/>
    <w:rsid w:val="00DD10D4"/>
    <w:rsid w:val="00DD39A6"/>
    <w:rsid w:val="00DD532D"/>
    <w:rsid w:val="00DD58A3"/>
    <w:rsid w:val="00DE1424"/>
    <w:rsid w:val="00DE3D3B"/>
    <w:rsid w:val="00DE4ABF"/>
    <w:rsid w:val="00DE6C0D"/>
    <w:rsid w:val="00DE7455"/>
    <w:rsid w:val="00DF0330"/>
    <w:rsid w:val="00DF202E"/>
    <w:rsid w:val="00DF2D78"/>
    <w:rsid w:val="00DF2EBF"/>
    <w:rsid w:val="00DF5E19"/>
    <w:rsid w:val="00DF6283"/>
    <w:rsid w:val="00DF7EAE"/>
    <w:rsid w:val="00E032D1"/>
    <w:rsid w:val="00E03F7C"/>
    <w:rsid w:val="00E0400F"/>
    <w:rsid w:val="00E13A7D"/>
    <w:rsid w:val="00E15057"/>
    <w:rsid w:val="00E167EA"/>
    <w:rsid w:val="00E16D00"/>
    <w:rsid w:val="00E22980"/>
    <w:rsid w:val="00E24448"/>
    <w:rsid w:val="00E3455B"/>
    <w:rsid w:val="00E37E55"/>
    <w:rsid w:val="00E409CC"/>
    <w:rsid w:val="00E412E2"/>
    <w:rsid w:val="00E421D4"/>
    <w:rsid w:val="00E44C0D"/>
    <w:rsid w:val="00E461D1"/>
    <w:rsid w:val="00E47C23"/>
    <w:rsid w:val="00E51F20"/>
    <w:rsid w:val="00E51F29"/>
    <w:rsid w:val="00E53EC2"/>
    <w:rsid w:val="00E5418E"/>
    <w:rsid w:val="00E567AA"/>
    <w:rsid w:val="00E6363A"/>
    <w:rsid w:val="00E64DE6"/>
    <w:rsid w:val="00E65EBE"/>
    <w:rsid w:val="00E70EE1"/>
    <w:rsid w:val="00E726FD"/>
    <w:rsid w:val="00E72B5C"/>
    <w:rsid w:val="00E73AD7"/>
    <w:rsid w:val="00E73FC8"/>
    <w:rsid w:val="00E76E11"/>
    <w:rsid w:val="00E777D8"/>
    <w:rsid w:val="00E80364"/>
    <w:rsid w:val="00E84284"/>
    <w:rsid w:val="00E91ACA"/>
    <w:rsid w:val="00E9462D"/>
    <w:rsid w:val="00E94B10"/>
    <w:rsid w:val="00E95605"/>
    <w:rsid w:val="00E95E15"/>
    <w:rsid w:val="00E97237"/>
    <w:rsid w:val="00EA0DDC"/>
    <w:rsid w:val="00EA19A6"/>
    <w:rsid w:val="00EA29C9"/>
    <w:rsid w:val="00EA4086"/>
    <w:rsid w:val="00EA4245"/>
    <w:rsid w:val="00EA572F"/>
    <w:rsid w:val="00EA6D72"/>
    <w:rsid w:val="00EA78EB"/>
    <w:rsid w:val="00EB006D"/>
    <w:rsid w:val="00EB4E35"/>
    <w:rsid w:val="00EC0B11"/>
    <w:rsid w:val="00EC0F43"/>
    <w:rsid w:val="00EC1471"/>
    <w:rsid w:val="00EC1766"/>
    <w:rsid w:val="00EC2096"/>
    <w:rsid w:val="00EC27EC"/>
    <w:rsid w:val="00EC395D"/>
    <w:rsid w:val="00EC4DAE"/>
    <w:rsid w:val="00EC5646"/>
    <w:rsid w:val="00EC5E48"/>
    <w:rsid w:val="00EC724D"/>
    <w:rsid w:val="00EC74AD"/>
    <w:rsid w:val="00EC7EFB"/>
    <w:rsid w:val="00ED1480"/>
    <w:rsid w:val="00ED16CD"/>
    <w:rsid w:val="00ED1802"/>
    <w:rsid w:val="00ED34AC"/>
    <w:rsid w:val="00ED5894"/>
    <w:rsid w:val="00ED7754"/>
    <w:rsid w:val="00ED7962"/>
    <w:rsid w:val="00EE4F3A"/>
    <w:rsid w:val="00EE6C0D"/>
    <w:rsid w:val="00EE6DEA"/>
    <w:rsid w:val="00EE6FC2"/>
    <w:rsid w:val="00EE7988"/>
    <w:rsid w:val="00EF2139"/>
    <w:rsid w:val="00EF53EA"/>
    <w:rsid w:val="00EF5711"/>
    <w:rsid w:val="00EF6C28"/>
    <w:rsid w:val="00F006FA"/>
    <w:rsid w:val="00F0118D"/>
    <w:rsid w:val="00F01F3A"/>
    <w:rsid w:val="00F02992"/>
    <w:rsid w:val="00F033BB"/>
    <w:rsid w:val="00F04C19"/>
    <w:rsid w:val="00F110BF"/>
    <w:rsid w:val="00F11320"/>
    <w:rsid w:val="00F14FF6"/>
    <w:rsid w:val="00F2102D"/>
    <w:rsid w:val="00F21841"/>
    <w:rsid w:val="00F222C0"/>
    <w:rsid w:val="00F22758"/>
    <w:rsid w:val="00F23713"/>
    <w:rsid w:val="00F26875"/>
    <w:rsid w:val="00F275B5"/>
    <w:rsid w:val="00F30335"/>
    <w:rsid w:val="00F308F0"/>
    <w:rsid w:val="00F320DC"/>
    <w:rsid w:val="00F32281"/>
    <w:rsid w:val="00F36353"/>
    <w:rsid w:val="00F43195"/>
    <w:rsid w:val="00F43318"/>
    <w:rsid w:val="00F44BE0"/>
    <w:rsid w:val="00F471AF"/>
    <w:rsid w:val="00F47249"/>
    <w:rsid w:val="00F4743D"/>
    <w:rsid w:val="00F5167E"/>
    <w:rsid w:val="00F5180D"/>
    <w:rsid w:val="00F52693"/>
    <w:rsid w:val="00F56696"/>
    <w:rsid w:val="00F5772E"/>
    <w:rsid w:val="00F57899"/>
    <w:rsid w:val="00F61713"/>
    <w:rsid w:val="00F62DB3"/>
    <w:rsid w:val="00F64199"/>
    <w:rsid w:val="00F6444D"/>
    <w:rsid w:val="00F648A0"/>
    <w:rsid w:val="00F65D58"/>
    <w:rsid w:val="00F70196"/>
    <w:rsid w:val="00F746C1"/>
    <w:rsid w:val="00F757C5"/>
    <w:rsid w:val="00F76944"/>
    <w:rsid w:val="00F76F93"/>
    <w:rsid w:val="00F81664"/>
    <w:rsid w:val="00F81B89"/>
    <w:rsid w:val="00F83532"/>
    <w:rsid w:val="00F84D28"/>
    <w:rsid w:val="00F911BB"/>
    <w:rsid w:val="00F97A50"/>
    <w:rsid w:val="00F97D31"/>
    <w:rsid w:val="00FA0608"/>
    <w:rsid w:val="00FA22AF"/>
    <w:rsid w:val="00FA26B2"/>
    <w:rsid w:val="00FA2EFB"/>
    <w:rsid w:val="00FA415F"/>
    <w:rsid w:val="00FA49DD"/>
    <w:rsid w:val="00FA4C78"/>
    <w:rsid w:val="00FA586A"/>
    <w:rsid w:val="00FA7B76"/>
    <w:rsid w:val="00FB1E14"/>
    <w:rsid w:val="00FB3291"/>
    <w:rsid w:val="00FB41A2"/>
    <w:rsid w:val="00FB6468"/>
    <w:rsid w:val="00FB7F33"/>
    <w:rsid w:val="00FC020E"/>
    <w:rsid w:val="00FC1472"/>
    <w:rsid w:val="00FC3444"/>
    <w:rsid w:val="00FC52C9"/>
    <w:rsid w:val="00FC6AA4"/>
    <w:rsid w:val="00FC6DBC"/>
    <w:rsid w:val="00FC7E8C"/>
    <w:rsid w:val="00FD3487"/>
    <w:rsid w:val="00FE01DA"/>
    <w:rsid w:val="00FE1177"/>
    <w:rsid w:val="00FE2083"/>
    <w:rsid w:val="00FE22FC"/>
    <w:rsid w:val="00FE3066"/>
    <w:rsid w:val="00FE3652"/>
    <w:rsid w:val="00FE4492"/>
    <w:rsid w:val="00FE4DAD"/>
    <w:rsid w:val="00FE520E"/>
    <w:rsid w:val="00FF0337"/>
    <w:rsid w:val="00FF384E"/>
    <w:rsid w:val="00FF5152"/>
    <w:rsid w:val="00FF6CC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80F680"/>
  <w15:docId w15:val="{690A9348-A5AC-460B-8205-AC9DBA3C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3D1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14DBF"/>
    <w:pPr>
      <w:keepNext/>
      <w:spacing w:before="120"/>
      <w:jc w:val="center"/>
      <w:outlineLvl w:val="0"/>
    </w:pPr>
    <w:rPr>
      <w:b/>
      <w:bCs/>
    </w:rPr>
  </w:style>
  <w:style w:type="paragraph" w:styleId="Nagwek2">
    <w:name w:val="heading 2"/>
    <w:basedOn w:val="Normalny"/>
    <w:next w:val="Normalny"/>
    <w:link w:val="Nagwek2Znak"/>
    <w:uiPriority w:val="9"/>
    <w:semiHidden/>
    <w:unhideWhenUsed/>
    <w:qFormat/>
    <w:rsid w:val="002A08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A0810"/>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4DBF"/>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semiHidden/>
    <w:unhideWhenUsed/>
    <w:rsid w:val="00614DBF"/>
    <w:pPr>
      <w:jc w:val="both"/>
    </w:pPr>
  </w:style>
  <w:style w:type="character" w:customStyle="1" w:styleId="TekstpodstawowyZnak">
    <w:name w:val="Tekst podstawowy Znak"/>
    <w:basedOn w:val="Domylnaczcionkaakapitu"/>
    <w:link w:val="Tekstpodstawowy"/>
    <w:semiHidden/>
    <w:rsid w:val="00614DB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614DBF"/>
    <w:pPr>
      <w:spacing w:before="120"/>
      <w:ind w:left="360"/>
      <w:jc w:val="both"/>
    </w:pPr>
  </w:style>
  <w:style w:type="character" w:customStyle="1" w:styleId="TekstpodstawowywcityZnak">
    <w:name w:val="Tekst podstawowy wcięty Znak"/>
    <w:basedOn w:val="Domylnaczcionkaakapitu"/>
    <w:link w:val="Tekstpodstawowywcity"/>
    <w:rsid w:val="00614DBF"/>
    <w:rPr>
      <w:rFonts w:ascii="Times New Roman" w:eastAsia="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
    <w:unhideWhenUsed/>
    <w:rsid w:val="00623233"/>
    <w:pPr>
      <w:widowControl w:val="0"/>
      <w:autoSpaceDE w:val="0"/>
      <w:autoSpaceDN w:val="0"/>
      <w:adjustRightInd w:val="0"/>
      <w:jc w:val="both"/>
    </w:pPr>
    <w:rPr>
      <w:rFonts w:cs="Arial"/>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623233"/>
    <w:rPr>
      <w:rFonts w:ascii="Times New Roman" w:eastAsia="Times New Roman" w:hAnsi="Times New Roman" w:cs="Arial"/>
      <w:sz w:val="20"/>
      <w:szCs w:val="20"/>
      <w:lang w:eastAsia="pl-PL"/>
    </w:rPr>
  </w:style>
  <w:style w:type="character" w:styleId="Odwoanieprzypisudolnego">
    <w:name w:val="footnote reference"/>
    <w:aliases w:val="Footnote Reference Number"/>
    <w:basedOn w:val="Domylnaczcionkaakapitu"/>
    <w:unhideWhenUsed/>
    <w:rsid w:val="00623233"/>
    <w:rPr>
      <w:vertAlign w:val="superscript"/>
    </w:rPr>
  </w:style>
  <w:style w:type="paragraph" w:styleId="Tekstdymka">
    <w:name w:val="Balloon Text"/>
    <w:basedOn w:val="Normalny"/>
    <w:link w:val="TekstdymkaZnak"/>
    <w:uiPriority w:val="99"/>
    <w:semiHidden/>
    <w:unhideWhenUsed/>
    <w:rsid w:val="00985029"/>
    <w:rPr>
      <w:rFonts w:ascii="Tahoma" w:hAnsi="Tahoma" w:cs="Tahoma"/>
      <w:sz w:val="16"/>
      <w:szCs w:val="16"/>
    </w:rPr>
  </w:style>
  <w:style w:type="character" w:customStyle="1" w:styleId="TekstdymkaZnak">
    <w:name w:val="Tekst dymka Znak"/>
    <w:basedOn w:val="Domylnaczcionkaakapitu"/>
    <w:link w:val="Tekstdymka"/>
    <w:uiPriority w:val="99"/>
    <w:semiHidden/>
    <w:rsid w:val="00985029"/>
    <w:rPr>
      <w:rFonts w:ascii="Tahoma" w:eastAsia="Times New Roman" w:hAnsi="Tahoma" w:cs="Tahoma"/>
      <w:sz w:val="16"/>
      <w:szCs w:val="16"/>
      <w:lang w:eastAsia="pl-PL"/>
    </w:rPr>
  </w:style>
  <w:style w:type="character" w:styleId="Odwoaniedokomentarza">
    <w:name w:val="annotation reference"/>
    <w:basedOn w:val="Domylnaczcionkaakapitu"/>
    <w:semiHidden/>
    <w:unhideWhenUsed/>
    <w:rsid w:val="0065176D"/>
    <w:rPr>
      <w:sz w:val="16"/>
      <w:szCs w:val="16"/>
    </w:rPr>
  </w:style>
  <w:style w:type="paragraph" w:styleId="Tekstkomentarza">
    <w:name w:val="annotation text"/>
    <w:basedOn w:val="Normalny"/>
    <w:link w:val="TekstkomentarzaZnak"/>
    <w:semiHidden/>
    <w:unhideWhenUsed/>
    <w:rsid w:val="0065176D"/>
    <w:rPr>
      <w:sz w:val="20"/>
      <w:szCs w:val="20"/>
    </w:rPr>
  </w:style>
  <w:style w:type="character" w:customStyle="1" w:styleId="TekstkomentarzaZnak">
    <w:name w:val="Tekst komentarza Znak"/>
    <w:basedOn w:val="Domylnaczcionkaakapitu"/>
    <w:link w:val="Tekstkomentarza"/>
    <w:uiPriority w:val="99"/>
    <w:semiHidden/>
    <w:rsid w:val="0065176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5176D"/>
    <w:rPr>
      <w:b/>
      <w:bCs/>
    </w:rPr>
  </w:style>
  <w:style w:type="character" w:customStyle="1" w:styleId="TematkomentarzaZnak">
    <w:name w:val="Temat komentarza Znak"/>
    <w:basedOn w:val="TekstkomentarzaZnak"/>
    <w:link w:val="Tematkomentarza"/>
    <w:uiPriority w:val="99"/>
    <w:semiHidden/>
    <w:rsid w:val="0065176D"/>
    <w:rPr>
      <w:rFonts w:ascii="Times New Roman" w:eastAsia="Times New Roman" w:hAnsi="Times New Roman" w:cs="Times New Roman"/>
      <w:b/>
      <w:bCs/>
      <w:sz w:val="20"/>
      <w:szCs w:val="20"/>
      <w:lang w:eastAsia="pl-PL"/>
    </w:rPr>
  </w:style>
  <w:style w:type="paragraph" w:styleId="Poprawka">
    <w:name w:val="Revision"/>
    <w:hidden/>
    <w:uiPriority w:val="99"/>
    <w:semiHidden/>
    <w:rsid w:val="0065176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B6973"/>
    <w:rPr>
      <w:sz w:val="20"/>
      <w:szCs w:val="20"/>
    </w:rPr>
  </w:style>
  <w:style w:type="character" w:customStyle="1" w:styleId="TekstprzypisukocowegoZnak">
    <w:name w:val="Tekst przypisu końcowego Znak"/>
    <w:basedOn w:val="Domylnaczcionkaakapitu"/>
    <w:link w:val="Tekstprzypisukocowego"/>
    <w:uiPriority w:val="99"/>
    <w:semiHidden/>
    <w:rsid w:val="00DB69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B6973"/>
    <w:rPr>
      <w:vertAlign w:val="superscript"/>
    </w:rPr>
  </w:style>
  <w:style w:type="paragraph" w:customStyle="1" w:styleId="Default">
    <w:name w:val="Default"/>
    <w:rsid w:val="00BB0E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uiPriority w:val="9"/>
    <w:semiHidden/>
    <w:rsid w:val="002A0810"/>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2A0810"/>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uiPriority w:val="34"/>
    <w:qFormat/>
    <w:rsid w:val="00066D48"/>
    <w:pPr>
      <w:ind w:left="720"/>
      <w:contextualSpacing/>
    </w:pPr>
  </w:style>
  <w:style w:type="paragraph" w:styleId="Nagwek">
    <w:name w:val="header"/>
    <w:basedOn w:val="Normalny"/>
    <w:link w:val="NagwekZnak"/>
    <w:uiPriority w:val="99"/>
    <w:unhideWhenUsed/>
    <w:rsid w:val="00D33E98"/>
    <w:pPr>
      <w:tabs>
        <w:tab w:val="center" w:pos="4536"/>
        <w:tab w:val="right" w:pos="9072"/>
      </w:tabs>
    </w:pPr>
  </w:style>
  <w:style w:type="character" w:customStyle="1" w:styleId="NagwekZnak">
    <w:name w:val="Nagłówek Znak"/>
    <w:basedOn w:val="Domylnaczcionkaakapitu"/>
    <w:link w:val="Nagwek"/>
    <w:uiPriority w:val="99"/>
    <w:rsid w:val="00D33E9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33E98"/>
    <w:pPr>
      <w:tabs>
        <w:tab w:val="center" w:pos="4536"/>
        <w:tab w:val="right" w:pos="9072"/>
      </w:tabs>
    </w:pPr>
  </w:style>
  <w:style w:type="character" w:customStyle="1" w:styleId="StopkaZnak">
    <w:name w:val="Stopka Znak"/>
    <w:basedOn w:val="Domylnaczcionkaakapitu"/>
    <w:link w:val="Stopka"/>
    <w:uiPriority w:val="99"/>
    <w:rsid w:val="00D33E98"/>
    <w:rPr>
      <w:rFonts w:ascii="Times New Roman" w:eastAsia="Times New Roman" w:hAnsi="Times New Roman" w:cs="Times New Roman"/>
      <w:sz w:val="24"/>
      <w:szCs w:val="24"/>
      <w:lang w:eastAsia="pl-PL"/>
    </w:rPr>
  </w:style>
  <w:style w:type="paragraph" w:customStyle="1" w:styleId="ODNONIKtreodnonika">
    <w:name w:val="ODNOŚNIK – treść odnośnika"/>
    <w:uiPriority w:val="19"/>
    <w:qFormat/>
    <w:rsid w:val="00E72B5C"/>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indeksgrny">
    <w:name w:val="_IG_ – indeks górny"/>
    <w:uiPriority w:val="2"/>
    <w:qFormat/>
    <w:rsid w:val="00E72B5C"/>
    <w:rPr>
      <w:b w:val="0"/>
      <w:i w:val="0"/>
      <w:vanish w:val="0"/>
      <w:spacing w:val="0"/>
      <w:vertAlign w:val="superscript"/>
    </w:rPr>
  </w:style>
  <w:style w:type="character" w:customStyle="1" w:styleId="IDindeksdolny">
    <w:name w:val="_ID_ – indeks dolny"/>
    <w:uiPriority w:val="3"/>
    <w:qFormat/>
    <w:rsid w:val="00E72B5C"/>
    <w:rPr>
      <w:b w:val="0"/>
      <w:i w:val="0"/>
      <w:vanish w:val="0"/>
      <w:spacing w:val="0"/>
      <w:vertAlign w:val="subscript"/>
    </w:rPr>
  </w:style>
  <w:style w:type="paragraph" w:customStyle="1" w:styleId="ARTartustawynprozporzdzenia">
    <w:name w:val="ART(§) – art. ustawy (§ np. rozporządzenia)"/>
    <w:uiPriority w:val="11"/>
    <w:qFormat/>
    <w:rsid w:val="00414EF7"/>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USTustnpkodeksu">
    <w:name w:val="UST(§) – ust. (§ np. kodeksu)"/>
    <w:basedOn w:val="ARTartustawynprozporzdzenia"/>
    <w:uiPriority w:val="12"/>
    <w:qFormat/>
    <w:rsid w:val="003F7DBB"/>
    <w:pPr>
      <w:spacing w:before="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6371">
      <w:bodyDiv w:val="1"/>
      <w:marLeft w:val="0"/>
      <w:marRight w:val="0"/>
      <w:marTop w:val="0"/>
      <w:marBottom w:val="0"/>
      <w:divBdr>
        <w:top w:val="none" w:sz="0" w:space="0" w:color="auto"/>
        <w:left w:val="none" w:sz="0" w:space="0" w:color="auto"/>
        <w:bottom w:val="none" w:sz="0" w:space="0" w:color="auto"/>
        <w:right w:val="none" w:sz="0" w:space="0" w:color="auto"/>
      </w:divBdr>
    </w:div>
    <w:div w:id="157118084">
      <w:bodyDiv w:val="1"/>
      <w:marLeft w:val="0"/>
      <w:marRight w:val="0"/>
      <w:marTop w:val="0"/>
      <w:marBottom w:val="0"/>
      <w:divBdr>
        <w:top w:val="none" w:sz="0" w:space="0" w:color="auto"/>
        <w:left w:val="none" w:sz="0" w:space="0" w:color="auto"/>
        <w:bottom w:val="none" w:sz="0" w:space="0" w:color="auto"/>
        <w:right w:val="none" w:sz="0" w:space="0" w:color="auto"/>
      </w:divBdr>
    </w:div>
    <w:div w:id="680476945">
      <w:bodyDiv w:val="1"/>
      <w:marLeft w:val="0"/>
      <w:marRight w:val="0"/>
      <w:marTop w:val="0"/>
      <w:marBottom w:val="0"/>
      <w:divBdr>
        <w:top w:val="none" w:sz="0" w:space="0" w:color="auto"/>
        <w:left w:val="none" w:sz="0" w:space="0" w:color="auto"/>
        <w:bottom w:val="none" w:sz="0" w:space="0" w:color="auto"/>
        <w:right w:val="none" w:sz="0" w:space="0" w:color="auto"/>
      </w:divBdr>
    </w:div>
    <w:div w:id="759983772">
      <w:bodyDiv w:val="1"/>
      <w:marLeft w:val="0"/>
      <w:marRight w:val="0"/>
      <w:marTop w:val="0"/>
      <w:marBottom w:val="0"/>
      <w:divBdr>
        <w:top w:val="none" w:sz="0" w:space="0" w:color="auto"/>
        <w:left w:val="none" w:sz="0" w:space="0" w:color="auto"/>
        <w:bottom w:val="none" w:sz="0" w:space="0" w:color="auto"/>
        <w:right w:val="none" w:sz="0" w:space="0" w:color="auto"/>
      </w:divBdr>
    </w:div>
    <w:div w:id="1452362326">
      <w:bodyDiv w:val="1"/>
      <w:marLeft w:val="0"/>
      <w:marRight w:val="0"/>
      <w:marTop w:val="0"/>
      <w:marBottom w:val="0"/>
      <w:divBdr>
        <w:top w:val="none" w:sz="0" w:space="0" w:color="auto"/>
        <w:left w:val="none" w:sz="0" w:space="0" w:color="auto"/>
        <w:bottom w:val="none" w:sz="0" w:space="0" w:color="auto"/>
        <w:right w:val="none" w:sz="0" w:space="0" w:color="auto"/>
      </w:divBdr>
    </w:div>
    <w:div w:id="1704205337">
      <w:bodyDiv w:val="1"/>
      <w:marLeft w:val="0"/>
      <w:marRight w:val="0"/>
      <w:marTop w:val="0"/>
      <w:marBottom w:val="0"/>
      <w:divBdr>
        <w:top w:val="none" w:sz="0" w:space="0" w:color="auto"/>
        <w:left w:val="none" w:sz="0" w:space="0" w:color="auto"/>
        <w:bottom w:val="none" w:sz="0" w:space="0" w:color="auto"/>
        <w:right w:val="none" w:sz="0" w:space="0" w:color="auto"/>
      </w:divBdr>
      <w:divsChild>
        <w:div w:id="1574390742">
          <w:marLeft w:val="0"/>
          <w:marRight w:val="0"/>
          <w:marTop w:val="0"/>
          <w:marBottom w:val="0"/>
          <w:divBdr>
            <w:top w:val="none" w:sz="0" w:space="0" w:color="auto"/>
            <w:left w:val="none" w:sz="0" w:space="0" w:color="auto"/>
            <w:bottom w:val="none" w:sz="0" w:space="0" w:color="auto"/>
            <w:right w:val="none" w:sz="0" w:space="0" w:color="auto"/>
          </w:divBdr>
          <w:divsChild>
            <w:div w:id="325014212">
              <w:marLeft w:val="0"/>
              <w:marRight w:val="0"/>
              <w:marTop w:val="0"/>
              <w:marBottom w:val="0"/>
              <w:divBdr>
                <w:top w:val="none" w:sz="0" w:space="0" w:color="auto"/>
                <w:left w:val="none" w:sz="0" w:space="0" w:color="auto"/>
                <w:bottom w:val="none" w:sz="0" w:space="0" w:color="auto"/>
                <w:right w:val="none" w:sz="0" w:space="0" w:color="auto"/>
              </w:divBdr>
              <w:divsChild>
                <w:div w:id="9490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21025">
      <w:bodyDiv w:val="1"/>
      <w:marLeft w:val="0"/>
      <w:marRight w:val="0"/>
      <w:marTop w:val="0"/>
      <w:marBottom w:val="0"/>
      <w:divBdr>
        <w:top w:val="none" w:sz="0" w:space="0" w:color="auto"/>
        <w:left w:val="none" w:sz="0" w:space="0" w:color="auto"/>
        <w:bottom w:val="none" w:sz="0" w:space="0" w:color="auto"/>
        <w:right w:val="none" w:sz="0" w:space="0" w:color="auto"/>
      </w:divBdr>
    </w:div>
    <w:div w:id="2009554610">
      <w:bodyDiv w:val="1"/>
      <w:marLeft w:val="0"/>
      <w:marRight w:val="0"/>
      <w:marTop w:val="0"/>
      <w:marBottom w:val="0"/>
      <w:divBdr>
        <w:top w:val="none" w:sz="0" w:space="0" w:color="auto"/>
        <w:left w:val="none" w:sz="0" w:space="0" w:color="auto"/>
        <w:bottom w:val="none" w:sz="0" w:space="0" w:color="auto"/>
        <w:right w:val="none" w:sz="0" w:space="0" w:color="auto"/>
      </w:divBdr>
    </w:div>
    <w:div w:id="203607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9E464-829D-486E-B085-A6E5FF1B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8596</Words>
  <Characters>51577</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60053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 Staskowiak</dc:creator>
  <cp:lastModifiedBy>Kachniarz Barbara</cp:lastModifiedBy>
  <cp:revision>3</cp:revision>
  <cp:lastPrinted>2015-03-20T07:57:00Z</cp:lastPrinted>
  <dcterms:created xsi:type="dcterms:W3CDTF">2024-02-13T10:31:00Z</dcterms:created>
  <dcterms:modified xsi:type="dcterms:W3CDTF">2024-02-13T10:31:00Z</dcterms:modified>
</cp:coreProperties>
</file>